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D0F9" w14:textId="332C8C81" w:rsidR="00A42F0A" w:rsidRPr="00D42A2D" w:rsidRDefault="00B67434">
      <w:pPr>
        <w:rPr>
          <w:b/>
          <w:sz w:val="32"/>
          <w:szCs w:val="32"/>
          <w:lang w:val="de-CH"/>
        </w:rPr>
      </w:pPr>
      <w:r w:rsidRPr="00D42A2D">
        <w:rPr>
          <w:b/>
          <w:sz w:val="32"/>
          <w:lang w:val="de-CH"/>
        </w:rPr>
        <w:t>Vernehmlassung: Verordnungsentwurf über Massnahmen zur Senkung des Verbrauchs von elektrischer Energie im Personenverkehr sowie im Güterverkehr auf der Schiene</w:t>
      </w:r>
    </w:p>
    <w:p w14:paraId="5AA08DB8" w14:textId="5031D162" w:rsidR="00233CF8" w:rsidRPr="00425312" w:rsidRDefault="00233CF8">
      <w:pPr>
        <w:rPr>
          <w:rFonts w:cs="Arial"/>
          <w:b/>
          <w:bCs/>
          <w:sz w:val="32"/>
          <w:szCs w:val="32"/>
        </w:rPr>
      </w:pPr>
      <w:r w:rsidRPr="00425312">
        <w:rPr>
          <w:b/>
          <w:sz w:val="32"/>
        </w:rPr>
        <w:t>Procédure de consultation sur le projet d</w:t>
      </w:r>
      <w:r w:rsidR="009A01A5" w:rsidRPr="00425312">
        <w:rPr>
          <w:b/>
          <w:sz w:val="32"/>
        </w:rPr>
        <w:t>’</w:t>
      </w:r>
      <w:r w:rsidRPr="00425312">
        <w:rPr>
          <w:b/>
          <w:sz w:val="32"/>
        </w:rPr>
        <w:t>ordonnance sur les mesures visant à réduire la consommation d</w:t>
      </w:r>
      <w:r w:rsidR="009A01A5" w:rsidRPr="00425312">
        <w:rPr>
          <w:b/>
          <w:sz w:val="32"/>
        </w:rPr>
        <w:t>’</w:t>
      </w:r>
      <w:r w:rsidRPr="00425312">
        <w:rPr>
          <w:b/>
          <w:sz w:val="32"/>
        </w:rPr>
        <w:t>énergie électrique dans le transport de voyageurs et le fret ferroviaire</w:t>
      </w:r>
    </w:p>
    <w:p w14:paraId="27C3B60B" w14:textId="6D9D8788" w:rsidR="00B33F4A" w:rsidRPr="00D42A2D" w:rsidRDefault="00C92DF1">
      <w:pPr>
        <w:rPr>
          <w:b/>
          <w:sz w:val="32"/>
          <w:szCs w:val="32"/>
          <w:lang w:val="it-CH"/>
        </w:rPr>
      </w:pPr>
      <w:r w:rsidRPr="00D42A2D">
        <w:rPr>
          <w:b/>
          <w:sz w:val="32"/>
          <w:lang w:val="it-CH"/>
        </w:rPr>
        <w:t>Procedura di consultazione sul progetto di ordinanza concernente le misure volte a ridurre il consumo di energia elettrica da parte del trasporto di viaggiatori e del trasporto merci ferroviario;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B33F4A" w:rsidRPr="00425312" w14:paraId="65B11898" w14:textId="77777777" w:rsidTr="7C1C9C6A">
        <w:trPr>
          <w:trHeight w:val="1134"/>
        </w:trPr>
        <w:tc>
          <w:tcPr>
            <w:tcW w:w="5306" w:type="dxa"/>
            <w:shd w:val="clear" w:color="auto" w:fill="auto"/>
          </w:tcPr>
          <w:p w14:paraId="1A2B79B9" w14:textId="77777777" w:rsidR="00B33F4A" w:rsidRPr="00425312" w:rsidRDefault="00B67434">
            <w:r w:rsidRPr="00425312">
              <w:t>Organisation / Organizzazione</w:t>
            </w:r>
          </w:p>
        </w:tc>
        <w:tc>
          <w:tcPr>
            <w:tcW w:w="8692" w:type="dxa"/>
          </w:tcPr>
          <w:p w14:paraId="10E96AC1" w14:textId="1ED49F36" w:rsidR="00B33F4A" w:rsidRPr="00425312" w:rsidRDefault="1737182E">
            <w:r w:rsidRPr="00425312">
              <w:t>Union des transports publics (UTP)</w:t>
            </w:r>
          </w:p>
        </w:tc>
      </w:tr>
      <w:tr w:rsidR="00B33F4A" w:rsidRPr="00425312" w14:paraId="6C904337" w14:textId="77777777" w:rsidTr="7C1C9C6A">
        <w:trPr>
          <w:trHeight w:val="1134"/>
        </w:trPr>
        <w:tc>
          <w:tcPr>
            <w:tcW w:w="5306" w:type="dxa"/>
            <w:shd w:val="clear" w:color="auto" w:fill="auto"/>
          </w:tcPr>
          <w:p w14:paraId="56097F0C" w14:textId="77777777" w:rsidR="00B33F4A" w:rsidRPr="00425312" w:rsidRDefault="00B67434">
            <w:r w:rsidRPr="00425312">
              <w:t>Adresse / Indirizzo</w:t>
            </w:r>
          </w:p>
        </w:tc>
        <w:tc>
          <w:tcPr>
            <w:tcW w:w="8692" w:type="dxa"/>
          </w:tcPr>
          <w:p w14:paraId="10099A72" w14:textId="2DA354C6" w:rsidR="00B33F4A" w:rsidRPr="00425312" w:rsidRDefault="3F367700" w:rsidP="006A05A8">
            <w:pPr>
              <w:spacing w:after="120"/>
            </w:pPr>
            <w:r w:rsidRPr="00425312">
              <w:t>Union des transports publics</w:t>
            </w:r>
          </w:p>
          <w:p w14:paraId="6016ED09" w14:textId="59E8EF52" w:rsidR="00B33F4A" w:rsidRPr="00425312" w:rsidRDefault="3F367700" w:rsidP="006A05A8">
            <w:pPr>
              <w:spacing w:after="120"/>
            </w:pPr>
            <w:r w:rsidRPr="00425312">
              <w:t>Dählhölzliweg 6</w:t>
            </w:r>
          </w:p>
          <w:p w14:paraId="455BC48E" w14:textId="018C4AE8" w:rsidR="00B33F4A" w:rsidRPr="00425312" w:rsidRDefault="3F367700" w:rsidP="006A05A8">
            <w:pPr>
              <w:spacing w:after="120"/>
            </w:pPr>
            <w:r w:rsidRPr="00425312">
              <w:t>3000 Berne 6</w:t>
            </w:r>
          </w:p>
        </w:tc>
      </w:tr>
      <w:tr w:rsidR="00B33F4A" w:rsidRPr="00425312" w14:paraId="1B25CD68" w14:textId="77777777" w:rsidTr="7C1C9C6A">
        <w:trPr>
          <w:trHeight w:val="1134"/>
        </w:trPr>
        <w:tc>
          <w:tcPr>
            <w:tcW w:w="5306" w:type="dxa"/>
            <w:shd w:val="clear" w:color="auto" w:fill="auto"/>
          </w:tcPr>
          <w:p w14:paraId="756F87B1" w14:textId="77777777" w:rsidR="00B33F4A" w:rsidRPr="00D42A2D" w:rsidRDefault="00B67434">
            <w:pPr>
              <w:rPr>
                <w:lang w:val="de-CH"/>
              </w:rPr>
            </w:pPr>
            <w:r w:rsidRPr="00D42A2D">
              <w:rPr>
                <w:lang w:val="de-CH"/>
              </w:rPr>
              <w:t>Datum, Unterschrift / Date et signature / Data e firma</w:t>
            </w:r>
          </w:p>
        </w:tc>
        <w:tc>
          <w:tcPr>
            <w:tcW w:w="8692" w:type="dxa"/>
          </w:tcPr>
          <w:p w14:paraId="350FB6BA" w14:textId="77777777" w:rsidR="00B33F4A" w:rsidRPr="00425312" w:rsidRDefault="00AE0E6F">
            <w:r w:rsidRPr="00425312">
              <w:t>Berne, le 10 novembre 2023</w:t>
            </w:r>
          </w:p>
          <w:p w14:paraId="52B59519" w14:textId="35284626" w:rsidR="00AE0E6F" w:rsidRPr="00425312" w:rsidRDefault="002537E4">
            <w:r w:rsidRPr="00425312">
              <w:rPr>
                <w:noProof/>
              </w:rPr>
              <w:drawing>
                <wp:inline distT="0" distB="0" distL="0" distR="0" wp14:anchorId="6517ED47" wp14:editId="743DE84E">
                  <wp:extent cx="756302" cy="292100"/>
                  <wp:effectExtent l="0" t="0" r="5715" b="0"/>
                  <wp:docPr id="333535609" name="Grafik 333535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535609" name=""/>
                          <pic:cNvPicPr/>
                        </pic:nvPicPr>
                        <pic:blipFill>
                          <a:blip r:embed="rId13"/>
                          <a:stretch>
                            <a:fillRect/>
                          </a:stretch>
                        </pic:blipFill>
                        <pic:spPr>
                          <a:xfrm>
                            <a:off x="0" y="0"/>
                            <a:ext cx="776140" cy="299762"/>
                          </a:xfrm>
                          <a:prstGeom prst="rect">
                            <a:avLst/>
                          </a:prstGeom>
                        </pic:spPr>
                      </pic:pic>
                    </a:graphicData>
                  </a:graphic>
                </wp:inline>
              </w:drawing>
            </w:r>
          </w:p>
        </w:tc>
      </w:tr>
    </w:tbl>
    <w:p w14:paraId="061552C0" w14:textId="77777777" w:rsidR="00B62922" w:rsidRPr="00425312" w:rsidRDefault="00B62922">
      <w:r w:rsidRPr="00425312">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CC08DE" w:rsidRPr="00425312" w14:paraId="562C5A6E" w14:textId="77777777" w:rsidTr="7C1C9C6A">
        <w:trPr>
          <w:trHeight w:val="1134"/>
        </w:trPr>
        <w:tc>
          <w:tcPr>
            <w:tcW w:w="5306" w:type="dxa"/>
            <w:shd w:val="clear" w:color="auto" w:fill="auto"/>
          </w:tcPr>
          <w:p w14:paraId="4EBF0AB9" w14:textId="4DBDD15A" w:rsidR="00CC08DE" w:rsidRPr="00D42A2D" w:rsidRDefault="00CC08DE">
            <w:pPr>
              <w:rPr>
                <w:lang w:val="it-CH"/>
              </w:rPr>
            </w:pPr>
            <w:r w:rsidRPr="00D42A2D">
              <w:rPr>
                <w:lang w:val="it-CH"/>
              </w:rPr>
              <w:lastRenderedPageBreak/>
              <w:t>Kontaktperson (Vorname, Nachname, Funktion, Emailadresse und Telefonnummer) / Personne de contact (prénom, nom, fonction, adresse e-mail et numéro de téléphone) / Persona di contatto (nome, cognome, funzione, indirizzo e-mail e numero di telefono)</w:t>
            </w:r>
          </w:p>
        </w:tc>
        <w:tc>
          <w:tcPr>
            <w:tcW w:w="8692" w:type="dxa"/>
          </w:tcPr>
          <w:p w14:paraId="000343CD" w14:textId="3ACE89BA" w:rsidR="00CC08DE" w:rsidRPr="00425312" w:rsidRDefault="442DA03B" w:rsidP="7C1C9C6A">
            <w:r w:rsidRPr="00425312">
              <w:t xml:space="preserve">Bernhard Adamek, vice-directeur, </w:t>
            </w:r>
            <w:hyperlink r:id="rId14" w:history="1">
              <w:r w:rsidRPr="00425312">
                <w:rPr>
                  <w:rStyle w:val="Hyperlink"/>
                </w:rPr>
                <w:t>bernhard.adamek@voev.ch</w:t>
              </w:r>
            </w:hyperlink>
            <w:r w:rsidRPr="00425312">
              <w:t>, +41 79 367 36 52</w:t>
            </w:r>
          </w:p>
          <w:p w14:paraId="120B4A41" w14:textId="56343FA7" w:rsidR="00CC08DE" w:rsidRPr="00425312" w:rsidRDefault="442DA03B" w:rsidP="00425312">
            <w:r w:rsidRPr="00425312">
              <w:t>Daniel Gerber, responsable du groupe de travail de l</w:t>
            </w:r>
            <w:r w:rsidR="009A01A5" w:rsidRPr="00425312">
              <w:t>’</w:t>
            </w:r>
            <w:r w:rsidRPr="00425312">
              <w:t>UTP</w:t>
            </w:r>
            <w:proofErr w:type="gramStart"/>
            <w:r w:rsidRPr="00425312">
              <w:t xml:space="preserve"> «Pénurie</w:t>
            </w:r>
            <w:proofErr w:type="gramEnd"/>
            <w:r w:rsidRPr="00425312">
              <w:t xml:space="preserve"> d</w:t>
            </w:r>
            <w:r w:rsidR="009A01A5" w:rsidRPr="00425312">
              <w:t>’</w:t>
            </w:r>
            <w:r w:rsidRPr="00425312">
              <w:t xml:space="preserve">électricité dans les TP» </w:t>
            </w:r>
            <w:hyperlink r:id="rId15" w:history="1">
              <w:r w:rsidRPr="00425312">
                <w:rPr>
                  <w:rStyle w:val="Hyperlink"/>
                </w:rPr>
                <w:t>daniel.gerber@sbb.ch</w:t>
              </w:r>
            </w:hyperlink>
            <w:r w:rsidRPr="00425312">
              <w:t>, +41 79</w:t>
            </w:r>
            <w:r w:rsidR="00425312" w:rsidRPr="00425312">
              <w:t> </w:t>
            </w:r>
            <w:r w:rsidRPr="00425312">
              <w:t xml:space="preserve">610 18 86 </w:t>
            </w:r>
          </w:p>
        </w:tc>
      </w:tr>
      <w:tr w:rsidR="00CC08DE" w:rsidRPr="00425312" w14:paraId="3880E1A1" w14:textId="77777777" w:rsidTr="00CC08DE">
        <w:trPr>
          <w:trHeight w:val="1134"/>
        </w:trPr>
        <w:tc>
          <w:tcPr>
            <w:tcW w:w="13998" w:type="dxa"/>
            <w:gridSpan w:val="2"/>
            <w:shd w:val="clear" w:color="auto" w:fill="auto"/>
          </w:tcPr>
          <w:p w14:paraId="5219CE62" w14:textId="242E338B" w:rsidR="00CC08DE" w:rsidRPr="00D42A2D" w:rsidRDefault="00CC08DE" w:rsidP="00CC08DE">
            <w:pPr>
              <w:spacing w:after="0"/>
              <w:rPr>
                <w:bCs/>
                <w:lang w:val="de-CH"/>
              </w:rPr>
            </w:pPr>
            <w:r w:rsidRPr="00D42A2D">
              <w:rPr>
                <w:lang w:val="de-CH"/>
              </w:rPr>
              <w:t xml:space="preserve">Bitte senden Sie Ihre Stellungnahme elektronisch an </w:t>
            </w:r>
            <w:hyperlink r:id="rId16" w:history="1">
              <w:r w:rsidRPr="00D42A2D">
                <w:rPr>
                  <w:rStyle w:val="Hyperlink"/>
                  <w:lang w:val="de-CH"/>
                </w:rPr>
                <w:t>energie@bwl.admin.ch</w:t>
              </w:r>
            </w:hyperlink>
            <w:r w:rsidRPr="00D42A2D">
              <w:rPr>
                <w:lang w:val="de-CH"/>
              </w:rPr>
              <w:t>.</w:t>
            </w:r>
          </w:p>
          <w:p w14:paraId="430F5540" w14:textId="77777777" w:rsidR="00CC08DE" w:rsidRPr="00425312" w:rsidRDefault="00CC08DE" w:rsidP="00CC08DE">
            <w:pPr>
              <w:spacing w:after="0"/>
              <w:rPr>
                <w:bCs/>
              </w:rPr>
            </w:pPr>
            <w:r w:rsidRPr="00D42A2D">
              <w:rPr>
                <w:b/>
                <w:lang w:val="de-CH"/>
              </w:rPr>
              <w:t xml:space="preserve">Sie erleichtern uns die Auswertung, wenn Sie uns Ihre Stellungnahme elektronisch als Word-Dokument zur Verfügung stellen. </w:t>
            </w:r>
            <w:r w:rsidRPr="00425312">
              <w:rPr>
                <w:b/>
              </w:rPr>
              <w:t>Vielen Dank.</w:t>
            </w:r>
            <w:r w:rsidRPr="00425312">
              <w:t xml:space="preserve"> </w:t>
            </w:r>
          </w:p>
          <w:p w14:paraId="3E465550" w14:textId="26898C63" w:rsidR="00CC08DE" w:rsidRPr="00D42A2D" w:rsidRDefault="00CC08DE" w:rsidP="00CC08DE">
            <w:pPr>
              <w:spacing w:before="60" w:after="60"/>
              <w:ind w:right="113"/>
              <w:rPr>
                <w:lang w:val="it-CH"/>
              </w:rPr>
            </w:pPr>
            <w:r w:rsidRPr="00425312">
              <w:t>Merci d</w:t>
            </w:r>
            <w:r w:rsidR="009A01A5" w:rsidRPr="00425312">
              <w:t>’</w:t>
            </w:r>
            <w:r w:rsidRPr="00425312">
              <w:t xml:space="preserve">envoyer votre prise de position par courrier électronique à </w:t>
            </w:r>
            <w:hyperlink r:id="rId17" w:history="1">
              <w:r w:rsidRPr="00425312">
                <w:rPr>
                  <w:rStyle w:val="Hyperlink"/>
                </w:rPr>
                <w:t>energie@bwl.admin.ch</w:t>
              </w:r>
            </w:hyperlink>
            <w:r w:rsidRPr="00425312">
              <w:t xml:space="preserve">. Un envoi </w:t>
            </w:r>
            <w:r w:rsidRPr="00425312">
              <w:rPr>
                <w:b/>
              </w:rPr>
              <w:t xml:space="preserve">en format Word par courrier électronique facilitera grandement notre travail. </w:t>
            </w:r>
            <w:r w:rsidRPr="00D42A2D">
              <w:rPr>
                <w:b/>
                <w:lang w:val="it-CH"/>
              </w:rPr>
              <w:t>D</w:t>
            </w:r>
            <w:r w:rsidR="009A01A5" w:rsidRPr="00D42A2D">
              <w:rPr>
                <w:b/>
                <w:lang w:val="it-CH"/>
              </w:rPr>
              <w:t>’</w:t>
            </w:r>
            <w:r w:rsidRPr="00D42A2D">
              <w:rPr>
                <w:b/>
                <w:lang w:val="it-CH"/>
              </w:rPr>
              <w:t>avance, merci beaucoup.</w:t>
            </w:r>
          </w:p>
          <w:p w14:paraId="043320E0" w14:textId="4D1D0E3B" w:rsidR="00CC08DE" w:rsidRPr="00425312" w:rsidRDefault="00CC08DE" w:rsidP="00CC08DE">
            <w:pPr>
              <w:spacing w:after="0"/>
              <w:rPr>
                <w:b/>
                <w:bCs/>
              </w:rPr>
            </w:pPr>
            <w:r w:rsidRPr="00D42A2D">
              <w:rPr>
                <w:lang w:val="it-CH"/>
              </w:rPr>
              <w:t>Vi invitiamo a inoltrare i vostri pareri all</w:t>
            </w:r>
            <w:r w:rsidR="009A01A5" w:rsidRPr="00D42A2D">
              <w:rPr>
                <w:lang w:val="it-CH"/>
              </w:rPr>
              <w:t>’</w:t>
            </w:r>
            <w:r w:rsidRPr="00D42A2D">
              <w:rPr>
                <w:lang w:val="it-CH"/>
              </w:rPr>
              <w:t xml:space="preserve">indirizzo di posta elettronica </w:t>
            </w:r>
            <w:hyperlink r:id="rId18" w:history="1">
              <w:r w:rsidRPr="00D42A2D">
                <w:rPr>
                  <w:rStyle w:val="Hyperlink"/>
                  <w:lang w:val="it-CH"/>
                </w:rPr>
                <w:t>energie@bwl.admin.ch</w:t>
              </w:r>
            </w:hyperlink>
            <w:r w:rsidRPr="00D42A2D">
              <w:rPr>
                <w:lang w:val="it-CH"/>
              </w:rPr>
              <w:t xml:space="preserve">. </w:t>
            </w:r>
            <w:r w:rsidRPr="00D42A2D">
              <w:rPr>
                <w:b/>
                <w:lang w:val="it-CH"/>
              </w:rPr>
              <w:t xml:space="preserve">Onde agevolare la valutazione dei pareri, vi invitiamo a trasmetterci elettronicamente i vostri commenti sotto forma di documento Word. </w:t>
            </w:r>
            <w:r w:rsidRPr="00425312">
              <w:rPr>
                <w:b/>
              </w:rPr>
              <w:t>Grazie.</w:t>
            </w:r>
          </w:p>
        </w:tc>
      </w:tr>
    </w:tbl>
    <w:p w14:paraId="06C9C850" w14:textId="77777777" w:rsidR="00B33F4A" w:rsidRPr="00425312" w:rsidRDefault="00B67434">
      <w:pPr>
        <w:spacing w:after="0"/>
        <w:rPr>
          <w:b/>
        </w:rPr>
      </w:pPr>
      <w:r w:rsidRPr="00425312">
        <w:br w:type="page"/>
      </w:r>
    </w:p>
    <w:p w14:paraId="73400171" w14:textId="77777777" w:rsidR="00B33F4A" w:rsidRPr="00425312" w:rsidRDefault="00B67434">
      <w:pPr>
        <w:pStyle w:val="berschrift1"/>
      </w:pPr>
      <w:bookmarkStart w:id="0" w:name="_Ref352161886"/>
      <w:bookmarkStart w:id="1" w:name="_Toc145490570"/>
      <w:r w:rsidRPr="00425312">
        <w:lastRenderedPageBreak/>
        <w:t>Allgemeine Bemerkungen / Remarques générales / Osservazioni generali</w:t>
      </w:r>
      <w:bookmarkEnd w:id="0"/>
      <w:bookmarkEnd w:id="1"/>
      <w:r w:rsidRPr="00425312">
        <w:t xml:space="preserve"> </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4"/>
        <w:gridCol w:w="558"/>
      </w:tblGrid>
      <w:tr w:rsidR="00B33F4A" w:rsidRPr="00425312" w14:paraId="6AFA3940" w14:textId="77777777" w:rsidTr="71E96361">
        <w:trPr>
          <w:trHeight w:val="8855"/>
        </w:trPr>
        <w:tc>
          <w:tcPr>
            <w:tcW w:w="14014" w:type="dxa"/>
            <w:shd w:val="clear" w:color="auto" w:fill="auto"/>
          </w:tcPr>
          <w:p w14:paraId="08FD730C" w14:textId="7ACCEDE5" w:rsidR="00B4521F" w:rsidRPr="00425312" w:rsidRDefault="00E11BE8">
            <w:r w:rsidRPr="00425312">
              <w:rPr>
                <w:b/>
                <w:bCs/>
              </w:rPr>
              <w:t>Nous nous réjouissons qu</w:t>
            </w:r>
            <w:r w:rsidR="009A01A5" w:rsidRPr="00425312">
              <w:rPr>
                <w:b/>
                <w:bCs/>
              </w:rPr>
              <w:t>’</w:t>
            </w:r>
            <w:r w:rsidRPr="00425312">
              <w:rPr>
                <w:b/>
                <w:bCs/>
              </w:rPr>
              <w:t>une solution efficace ait pu être trouvée pour les transports publics, y compris le transport de marchandises, et concrétisée jusqu</w:t>
            </w:r>
            <w:r w:rsidR="009A01A5" w:rsidRPr="00425312">
              <w:rPr>
                <w:b/>
                <w:bCs/>
              </w:rPr>
              <w:t>’</w:t>
            </w:r>
            <w:r w:rsidRPr="00425312">
              <w:rPr>
                <w:b/>
                <w:bCs/>
              </w:rPr>
              <w:t>à ce projet d</w:t>
            </w:r>
            <w:r w:rsidR="009A01A5" w:rsidRPr="00425312">
              <w:rPr>
                <w:b/>
                <w:bCs/>
              </w:rPr>
              <w:t>’</w:t>
            </w:r>
            <w:r w:rsidRPr="00425312">
              <w:rPr>
                <w:b/>
                <w:bCs/>
              </w:rPr>
              <w:t>ordonnance.</w:t>
            </w:r>
          </w:p>
          <w:p w14:paraId="47A59600" w14:textId="486033E1" w:rsidR="00633680" w:rsidRPr="00425312" w:rsidRDefault="00E11BE8">
            <w:r w:rsidRPr="00425312">
              <w:t>Le projet d</w:t>
            </w:r>
            <w:r w:rsidR="009A01A5" w:rsidRPr="00425312">
              <w:t>’</w:t>
            </w:r>
            <w:r w:rsidRPr="00425312">
              <w:t>ordonnance contient en principe les éléments</w:t>
            </w:r>
            <w:proofErr w:type="gramStart"/>
            <w:r w:rsidRPr="00425312">
              <w:t xml:space="preserve"> «techniques</w:t>
            </w:r>
            <w:proofErr w:type="gramEnd"/>
            <w:r w:rsidRPr="00425312">
              <w:t xml:space="preserve">» et les scénarios nécessaires à la réduction exceptionnelle des besoins en électricité dans les </w:t>
            </w:r>
            <w:r w:rsidR="009F450D">
              <w:t>tr</w:t>
            </w:r>
            <w:r w:rsidR="00446E36">
              <w:t>a</w:t>
            </w:r>
            <w:r w:rsidR="009F450D">
              <w:t>nsports publics</w:t>
            </w:r>
            <w:r w:rsidRPr="00425312">
              <w:t>. Pour garantir une mise en œuvre robuste</w:t>
            </w:r>
            <w:r w:rsidR="00F13AF9">
              <w:t xml:space="preserve"> dans les années qui suivent</w:t>
            </w:r>
            <w:r w:rsidRPr="00425312">
              <w:t>, certaines améliorations s</w:t>
            </w:r>
            <w:r w:rsidR="009A01A5" w:rsidRPr="00425312">
              <w:t>’</w:t>
            </w:r>
            <w:r w:rsidRPr="00425312">
              <w:t xml:space="preserve">avèrent toutefois </w:t>
            </w:r>
            <w:r w:rsidR="000D6C83">
              <w:t>utiles</w:t>
            </w:r>
            <w:r w:rsidRPr="00425312">
              <w:t>. C</w:t>
            </w:r>
            <w:r w:rsidR="009A01A5" w:rsidRPr="00425312">
              <w:t>’</w:t>
            </w:r>
            <w:r w:rsidRPr="00425312">
              <w:t xml:space="preserve">est en particulier le cas pour les trois domaines </w:t>
            </w:r>
            <w:r w:rsidR="004E4CAE">
              <w:t>ci-après</w:t>
            </w:r>
            <w:r w:rsidRPr="00425312">
              <w:t xml:space="preserve"> que nous présentons et justifions spécifiquement dans les remarques portant sur les différents articles.</w:t>
            </w:r>
          </w:p>
          <w:p w14:paraId="42D2C21B" w14:textId="13A9CEA6" w:rsidR="00673077" w:rsidRPr="00425312" w:rsidRDefault="00D316DC">
            <w:r w:rsidRPr="00425312">
              <w:t xml:space="preserve">1. Le </w:t>
            </w:r>
            <w:r w:rsidRPr="00425312">
              <w:rPr>
                <w:u w:val="single"/>
              </w:rPr>
              <w:t>champ d</w:t>
            </w:r>
            <w:r w:rsidR="009A01A5" w:rsidRPr="00425312">
              <w:rPr>
                <w:u w:val="single"/>
              </w:rPr>
              <w:t>’</w:t>
            </w:r>
            <w:r w:rsidRPr="00425312">
              <w:rPr>
                <w:u w:val="single"/>
              </w:rPr>
              <w:t>application</w:t>
            </w:r>
            <w:r w:rsidRPr="00425312">
              <w:t xml:space="preserve"> est trop restreint. Le modèle de gestion des </w:t>
            </w:r>
            <w:r w:rsidR="00823A90">
              <w:t>transports publics</w:t>
            </w:r>
            <w:r w:rsidRPr="00425312">
              <w:t xml:space="preserve"> visait d</w:t>
            </w:r>
            <w:r w:rsidR="009A01A5" w:rsidRPr="00425312">
              <w:t>’</w:t>
            </w:r>
            <w:r w:rsidRPr="00425312">
              <w:t xml:space="preserve">emblée et de manière explicite une solution globale pour les </w:t>
            </w:r>
            <w:r w:rsidR="00823A90">
              <w:t>transports publics</w:t>
            </w:r>
            <w:r w:rsidRPr="00425312">
              <w:t xml:space="preserve"> concernés par l</w:t>
            </w:r>
            <w:r w:rsidR="009A01A5" w:rsidRPr="00425312">
              <w:t>’</w:t>
            </w:r>
            <w:r w:rsidRPr="00425312">
              <w:t>approvisionnement en énergie.</w:t>
            </w:r>
          </w:p>
          <w:p w14:paraId="2EA9C75F" w14:textId="7C20C999" w:rsidR="00E11BE8" w:rsidRPr="00425312" w:rsidRDefault="00D316DC">
            <w:r w:rsidRPr="00425312">
              <w:t>2. Dans le rapport explicatif et pour partie dans le projet d</w:t>
            </w:r>
            <w:r w:rsidR="009A01A5" w:rsidRPr="00425312">
              <w:t>’</w:t>
            </w:r>
            <w:r w:rsidRPr="00425312">
              <w:t xml:space="preserve">ordonnance, il manque </w:t>
            </w:r>
            <w:r w:rsidRPr="00425312">
              <w:rPr>
                <w:u w:val="single"/>
              </w:rPr>
              <w:t>des indications et des informations importantes pour la compréhension globale</w:t>
            </w:r>
            <w:r w:rsidRPr="00425312">
              <w:t>, lesquelles feront défaut aux services qui opéreront sous la pression en cas de crise. Cela concerne principalement la gestion ou la modulation de la demande dans les transports publics</w:t>
            </w:r>
            <w:r w:rsidR="00581E2A">
              <w:t xml:space="preserve"> (trafic voyageurs)</w:t>
            </w:r>
            <w:r w:rsidRPr="00425312">
              <w:t>, un élément décisif en cas de réduction de l</w:t>
            </w:r>
            <w:r w:rsidR="009A01A5" w:rsidRPr="00425312">
              <w:t>’</w:t>
            </w:r>
            <w:r w:rsidRPr="00425312">
              <w:t xml:space="preserve">offre de </w:t>
            </w:r>
            <w:r w:rsidR="00F17051">
              <w:t>transports publics</w:t>
            </w:r>
            <w:r w:rsidRPr="00425312">
              <w:t xml:space="preserve"> mais aussi </w:t>
            </w:r>
            <w:r w:rsidR="00F17051">
              <w:t>le principal</w:t>
            </w:r>
            <w:r w:rsidRPr="00425312">
              <w:t xml:space="preserve"> défi.</w:t>
            </w:r>
          </w:p>
          <w:p w14:paraId="6DFA9006" w14:textId="57E1CE41" w:rsidR="007F033D" w:rsidRPr="00425312" w:rsidRDefault="00315320" w:rsidP="007F033D">
            <w:pPr>
              <w:rPr>
                <w:bCs/>
              </w:rPr>
            </w:pPr>
            <w:r w:rsidRPr="00425312">
              <w:t xml:space="preserve">Il est important de noter que </w:t>
            </w:r>
            <w:r w:rsidRPr="00425312">
              <w:rPr>
                <w:b/>
                <w:bCs/>
              </w:rPr>
              <w:t>les réductions de l</w:t>
            </w:r>
            <w:r w:rsidR="009A01A5" w:rsidRPr="00425312">
              <w:rPr>
                <w:b/>
                <w:bCs/>
              </w:rPr>
              <w:t>’</w:t>
            </w:r>
            <w:r w:rsidRPr="00425312">
              <w:rPr>
                <w:b/>
                <w:bCs/>
              </w:rPr>
              <w:t xml:space="preserve">offre de </w:t>
            </w:r>
            <w:r w:rsidR="005E275F">
              <w:rPr>
                <w:b/>
                <w:bCs/>
              </w:rPr>
              <w:t>transports publics</w:t>
            </w:r>
            <w:r w:rsidRPr="00425312">
              <w:rPr>
                <w:b/>
                <w:bCs/>
              </w:rPr>
              <w:t xml:space="preserve"> ne peuvent intervenir </w:t>
            </w:r>
            <w:r w:rsidRPr="005E275F">
              <w:rPr>
                <w:b/>
                <w:bCs/>
                <w:u w:val="single"/>
              </w:rPr>
              <w:t>qu</w:t>
            </w:r>
            <w:r w:rsidR="009A01A5" w:rsidRPr="005E275F">
              <w:rPr>
                <w:b/>
                <w:bCs/>
                <w:u w:val="single"/>
              </w:rPr>
              <w:t>’</w:t>
            </w:r>
            <w:r w:rsidRPr="005E275F">
              <w:rPr>
                <w:b/>
                <w:bCs/>
                <w:u w:val="single"/>
              </w:rPr>
              <w:t>en aval</w:t>
            </w:r>
            <w:r w:rsidRPr="00425312">
              <w:rPr>
                <w:b/>
                <w:bCs/>
              </w:rPr>
              <w:t xml:space="preserve"> d</w:t>
            </w:r>
            <w:r w:rsidR="009A01A5" w:rsidRPr="00425312">
              <w:rPr>
                <w:b/>
                <w:bCs/>
              </w:rPr>
              <w:t>’</w:t>
            </w:r>
            <w:r w:rsidRPr="00425312">
              <w:rPr>
                <w:b/>
                <w:bCs/>
              </w:rPr>
              <w:t>un recul de la mobilité</w:t>
            </w:r>
            <w:r w:rsidRPr="00425312">
              <w:t xml:space="preserve"> et que, par conséquent, des mesures d</w:t>
            </w:r>
            <w:r w:rsidR="009A01A5" w:rsidRPr="00425312">
              <w:t>’</w:t>
            </w:r>
            <w:r w:rsidRPr="00425312">
              <w:t xml:space="preserve">accompagnement visant à réduire la mobilité sont nécessaires parallèlement aux mesures de </w:t>
            </w:r>
            <w:proofErr w:type="gramStart"/>
            <w:r w:rsidRPr="00425312">
              <w:t>gestion:</w:t>
            </w:r>
            <w:proofErr w:type="gramEnd"/>
          </w:p>
          <w:p w14:paraId="40742FB7" w14:textId="5644DFF7" w:rsidR="007F033D" w:rsidRPr="00425312" w:rsidRDefault="007F033D" w:rsidP="00204206">
            <w:pPr>
              <w:pStyle w:val="Listenabsatz"/>
              <w:numPr>
                <w:ilvl w:val="0"/>
                <w:numId w:val="25"/>
              </w:numPr>
            </w:pPr>
            <w:r w:rsidRPr="00425312">
              <w:t>Il n</w:t>
            </w:r>
            <w:r w:rsidR="009A01A5" w:rsidRPr="00425312">
              <w:t>’</w:t>
            </w:r>
            <w:r w:rsidRPr="00425312">
              <w:t>est possible de procéder à la réduction de l</w:t>
            </w:r>
            <w:r w:rsidR="009A01A5" w:rsidRPr="00425312">
              <w:t>’</w:t>
            </w:r>
            <w:r w:rsidRPr="00425312">
              <w:t>offre que si le nombre</w:t>
            </w:r>
            <w:r w:rsidR="00C6481D" w:rsidRPr="00425312">
              <w:t xml:space="preserve"> </w:t>
            </w:r>
            <w:r w:rsidRPr="00425312">
              <w:t xml:space="preserve">de personnes à transporter </w:t>
            </w:r>
            <w:proofErr w:type="gramStart"/>
            <w:r w:rsidRPr="00425312">
              <w:t>peut être</w:t>
            </w:r>
            <w:proofErr w:type="gramEnd"/>
            <w:r w:rsidRPr="00425312">
              <w:t xml:space="preserve"> réduit en parallèle, au risque, sinon, de compromettre le maintien de l</w:t>
            </w:r>
            <w:r w:rsidR="009A01A5" w:rsidRPr="00425312">
              <w:t>’</w:t>
            </w:r>
            <w:r w:rsidRPr="00425312">
              <w:t>ensemble du système en le surchargeant, et partant, d</w:t>
            </w:r>
            <w:r w:rsidR="009A01A5" w:rsidRPr="00425312">
              <w:t>’</w:t>
            </w:r>
            <w:r w:rsidRPr="00425312">
              <w:t xml:space="preserve">empêcher un transport sûr. </w:t>
            </w:r>
          </w:p>
          <w:p w14:paraId="445761DD" w14:textId="764069F2" w:rsidR="007F033D" w:rsidRPr="00425312" w:rsidRDefault="007F033D" w:rsidP="00204206">
            <w:pPr>
              <w:pStyle w:val="Listenabsatz"/>
              <w:numPr>
                <w:ilvl w:val="0"/>
                <w:numId w:val="25"/>
              </w:numPr>
            </w:pPr>
            <w:r w:rsidRPr="00425312">
              <w:t xml:space="preserve">Si des restrictions sont ordonnées par les autorités, les autres conditions-cadres devront être fixées </w:t>
            </w:r>
            <w:proofErr w:type="gramStart"/>
            <w:r w:rsidRPr="00425312">
              <w:t>de manière à ce</w:t>
            </w:r>
            <w:proofErr w:type="gramEnd"/>
            <w:r w:rsidRPr="00425312">
              <w:t xml:space="preserve"> que les prestations des </w:t>
            </w:r>
            <w:r w:rsidR="00AA02D4">
              <w:t>transports publics</w:t>
            </w:r>
            <w:r w:rsidRPr="00425312">
              <w:t xml:space="preserve"> puissent être fournies dans une qualité suffisante avec les capacités encore disponibles.</w:t>
            </w:r>
          </w:p>
          <w:p w14:paraId="675221B7" w14:textId="5BFA2DB9" w:rsidR="007F033D" w:rsidRPr="00425312" w:rsidRDefault="007F033D" w:rsidP="00E34D51">
            <w:pPr>
              <w:pStyle w:val="Listenabsatz"/>
              <w:numPr>
                <w:ilvl w:val="0"/>
                <w:numId w:val="25"/>
              </w:numPr>
            </w:pPr>
            <w:r w:rsidRPr="00425312">
              <w:t>Il convient d</w:t>
            </w:r>
            <w:r w:rsidR="009A01A5" w:rsidRPr="00425312">
              <w:t>’</w:t>
            </w:r>
            <w:r w:rsidRPr="00425312">
              <w:t>être particulièrement vigilant face au transport scolaire qui restera nécessaire, face au trafic de loisirs voué à évoluer dans une telle situation ainsi que face aux grandes manifestations prévues et aux pics de demande attendus.</w:t>
            </w:r>
          </w:p>
          <w:p w14:paraId="5311B9E3" w14:textId="6BE84190" w:rsidR="00672495" w:rsidRPr="00425312" w:rsidRDefault="42A4274A">
            <w:r w:rsidRPr="00425312">
              <w:t>Il est important de s</w:t>
            </w:r>
            <w:r w:rsidR="009A01A5" w:rsidRPr="00425312">
              <w:t>’</w:t>
            </w:r>
            <w:r w:rsidRPr="00425312">
              <w:t>assurer que les services en charge de la gestion de crise soient en mesure d</w:t>
            </w:r>
            <w:r w:rsidR="009A01A5" w:rsidRPr="00425312">
              <w:t>’</w:t>
            </w:r>
            <w:r w:rsidRPr="00425312">
              <w:t>évaluer, y compris dans les années à venir, l</w:t>
            </w:r>
            <w:r w:rsidR="009A01A5" w:rsidRPr="00425312">
              <w:t>’</w:t>
            </w:r>
            <w:r w:rsidRPr="00425312">
              <w:t>ampleur des conséquences liées aux mesures correspondantes</w:t>
            </w:r>
            <w:r w:rsidR="002554D0">
              <w:t>,</w:t>
            </w:r>
            <w:r w:rsidRPr="00425312">
              <w:t xml:space="preserve"> en sachant que la gestion de crise proprement dite ne sera pas assurée par l</w:t>
            </w:r>
            <w:r w:rsidR="009A01A5" w:rsidRPr="00425312">
              <w:t>’</w:t>
            </w:r>
            <w:r w:rsidRPr="00425312">
              <w:t>OFT, compétent en matière de transports publics. C</w:t>
            </w:r>
            <w:r w:rsidR="009A01A5" w:rsidRPr="00425312">
              <w:t>’</w:t>
            </w:r>
            <w:r w:rsidRPr="00425312">
              <w:t>est la raison pour laquelle l</w:t>
            </w:r>
            <w:r w:rsidR="009A01A5" w:rsidRPr="00425312">
              <w:t>’</w:t>
            </w:r>
            <w:r w:rsidRPr="00425312">
              <w:t>ordonnance ne doit pas se limiter à des prescriptions légales, mais également prendre en compte d</w:t>
            </w:r>
            <w:r w:rsidR="009A01A5" w:rsidRPr="00425312">
              <w:t>’</w:t>
            </w:r>
            <w:r w:rsidRPr="00425312">
              <w:t>autres aspects tels que les</w:t>
            </w:r>
            <w:proofErr w:type="gramStart"/>
            <w:r w:rsidRPr="00425312">
              <w:t xml:space="preserve"> «mesures</w:t>
            </w:r>
            <w:proofErr w:type="gramEnd"/>
            <w:r w:rsidRPr="00425312">
              <w:t xml:space="preserve"> d</w:t>
            </w:r>
            <w:r w:rsidR="009A01A5" w:rsidRPr="00425312">
              <w:t>’</w:t>
            </w:r>
            <w:r w:rsidRPr="00425312">
              <w:t xml:space="preserve">accompagnement».  </w:t>
            </w:r>
          </w:p>
          <w:p w14:paraId="798452EB" w14:textId="43623C08" w:rsidR="00672495" w:rsidRPr="00425312" w:rsidRDefault="00EB09BC">
            <w:r w:rsidRPr="00425312">
              <w:t xml:space="preserve">3. </w:t>
            </w:r>
            <w:r w:rsidRPr="00425312">
              <w:rPr>
                <w:u w:val="single"/>
              </w:rPr>
              <w:t>L</w:t>
            </w:r>
            <w:r w:rsidR="004666B9">
              <w:rPr>
                <w:u w:val="single"/>
              </w:rPr>
              <w:t>’</w:t>
            </w:r>
            <w:r w:rsidRPr="00425312">
              <w:rPr>
                <w:u w:val="single"/>
              </w:rPr>
              <w:t>offre et la fonction du</w:t>
            </w:r>
            <w:r w:rsidR="004666B9">
              <w:rPr>
                <w:u w:val="single"/>
              </w:rPr>
              <w:t xml:space="preserve"> transport ferroviaire de marchandises</w:t>
            </w:r>
            <w:r w:rsidRPr="00425312">
              <w:t xml:space="preserve"> doivent être maintenues aussi longtemps que possible pour permettre l</w:t>
            </w:r>
            <w:r w:rsidR="009A01A5" w:rsidRPr="00425312">
              <w:t>’</w:t>
            </w:r>
            <w:r w:rsidRPr="00425312">
              <w:t>approvisionnement de l</w:t>
            </w:r>
            <w:r w:rsidR="009A01A5" w:rsidRPr="00425312">
              <w:t>’</w:t>
            </w:r>
            <w:r w:rsidRPr="00425312">
              <w:t>économie suisse, l</w:t>
            </w:r>
            <w:r w:rsidR="009A01A5" w:rsidRPr="00425312">
              <w:t>’</w:t>
            </w:r>
            <w:r w:rsidRPr="00425312">
              <w:t>approvisionnement du pays et le transit des marchandises. Cette priorisation déroge à la règle d</w:t>
            </w:r>
            <w:r w:rsidR="009A01A5" w:rsidRPr="00425312">
              <w:t>’</w:t>
            </w:r>
            <w:r w:rsidRPr="00425312">
              <w:t xml:space="preserve">égalité de traitement entre </w:t>
            </w:r>
            <w:proofErr w:type="gramStart"/>
            <w:r w:rsidRPr="00425312">
              <w:t>le trafic voyageurs</w:t>
            </w:r>
            <w:proofErr w:type="gramEnd"/>
            <w:r w:rsidRPr="00425312">
              <w:t xml:space="preserve"> et le trafic marchandises appliquée en temps normal, telle que définie juridiquement pour les événements et les cas de perturbation. C</w:t>
            </w:r>
            <w:r w:rsidR="009A01A5" w:rsidRPr="00425312">
              <w:t>’</w:t>
            </w:r>
            <w:r w:rsidRPr="00425312">
              <w:t xml:space="preserve">est </w:t>
            </w:r>
            <w:r w:rsidR="001C6B20">
              <w:t xml:space="preserve">pourquoi </w:t>
            </w:r>
            <w:r w:rsidRPr="00425312">
              <w:t>cette ordonnance</w:t>
            </w:r>
            <w:r w:rsidR="00C6481D" w:rsidRPr="00425312">
              <w:t xml:space="preserve"> requiert une clarification juridique</w:t>
            </w:r>
            <w:r w:rsidRPr="00425312">
              <w:t xml:space="preserve"> selon laquelle, en cas de pénurie d</w:t>
            </w:r>
            <w:r w:rsidR="009A01A5" w:rsidRPr="00425312">
              <w:t>’</w:t>
            </w:r>
            <w:r w:rsidRPr="00425312">
              <w:t>électricité, le transport de marchandises par rail aura priorité sur le transport de voyageurs.</w:t>
            </w:r>
          </w:p>
        </w:tc>
        <w:tc>
          <w:tcPr>
            <w:tcW w:w="558" w:type="dxa"/>
            <w:tcBorders>
              <w:top w:val="nil"/>
              <w:bottom w:val="nil"/>
              <w:right w:val="nil"/>
            </w:tcBorders>
            <w:shd w:val="clear" w:color="auto" w:fill="auto"/>
          </w:tcPr>
          <w:p w14:paraId="646DFFC6" w14:textId="77777777" w:rsidR="00B33F4A" w:rsidRPr="00425312" w:rsidRDefault="00B33F4A">
            <w:pPr>
              <w:rPr>
                <w:b/>
              </w:rPr>
            </w:pPr>
          </w:p>
        </w:tc>
      </w:tr>
    </w:tbl>
    <w:p w14:paraId="16323B6B" w14:textId="077F4471" w:rsidR="00F22F81" w:rsidRPr="00425312" w:rsidRDefault="00F22F81" w:rsidP="00F22F81">
      <w:pPr>
        <w:pStyle w:val="berschrift1"/>
      </w:pP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425312" w14:paraId="34C64435" w14:textId="77777777" w:rsidTr="71E96361">
        <w:trPr>
          <w:cantSplit/>
          <w:tblHeader/>
        </w:trPr>
        <w:tc>
          <w:tcPr>
            <w:tcW w:w="2943" w:type="dxa"/>
          </w:tcPr>
          <w:p w14:paraId="1AC34B96" w14:textId="77777777" w:rsidR="00B33F4A" w:rsidRPr="00D42A2D" w:rsidRDefault="00B67434">
            <w:pPr>
              <w:spacing w:after="0"/>
              <w:rPr>
                <w:b/>
                <w:lang w:val="it-CH"/>
              </w:rPr>
            </w:pPr>
            <w:r w:rsidRPr="00D42A2D">
              <w:rPr>
                <w:b/>
                <w:lang w:val="it-CH"/>
              </w:rPr>
              <w:t xml:space="preserve">Artikel, Ziffer (Anhang) </w:t>
            </w:r>
            <w:r w:rsidRPr="00D42A2D">
              <w:rPr>
                <w:b/>
                <w:lang w:val="it-CH"/>
              </w:rPr>
              <w:br/>
              <w:t>Article, chiffre (annexe)</w:t>
            </w:r>
            <w:r w:rsidRPr="00D42A2D">
              <w:rPr>
                <w:b/>
                <w:lang w:val="it-CH"/>
              </w:rPr>
              <w:br/>
              <w:t>Articolo, numero (allegato)</w:t>
            </w:r>
          </w:p>
        </w:tc>
        <w:tc>
          <w:tcPr>
            <w:tcW w:w="5529" w:type="dxa"/>
          </w:tcPr>
          <w:p w14:paraId="51378193" w14:textId="77777777" w:rsidR="00B33F4A" w:rsidRPr="00425312" w:rsidRDefault="00B67434">
            <w:pPr>
              <w:spacing w:after="0"/>
              <w:rPr>
                <w:b/>
              </w:rPr>
            </w:pPr>
            <w:r w:rsidRPr="00425312">
              <w:rPr>
                <w:b/>
              </w:rPr>
              <w:t>Antrag</w:t>
            </w:r>
            <w:r w:rsidRPr="00425312">
              <w:rPr>
                <w:b/>
              </w:rPr>
              <w:br/>
              <w:t>Proposition</w:t>
            </w:r>
            <w:r w:rsidRPr="00425312">
              <w:rPr>
                <w:b/>
              </w:rPr>
              <w:br/>
              <w:t>Richiesta</w:t>
            </w:r>
          </w:p>
        </w:tc>
        <w:tc>
          <w:tcPr>
            <w:tcW w:w="5620" w:type="dxa"/>
          </w:tcPr>
          <w:p w14:paraId="5972B433" w14:textId="77777777" w:rsidR="00B33F4A" w:rsidRPr="00425312" w:rsidRDefault="00B67434">
            <w:pPr>
              <w:spacing w:after="0"/>
              <w:rPr>
                <w:b/>
              </w:rPr>
            </w:pPr>
            <w:r w:rsidRPr="00425312">
              <w:rPr>
                <w:b/>
              </w:rPr>
              <w:t>Begründung / Bemerkung</w:t>
            </w:r>
            <w:r w:rsidRPr="00425312">
              <w:rPr>
                <w:b/>
              </w:rPr>
              <w:br/>
              <w:t>Justification / Remarques</w:t>
            </w:r>
            <w:r w:rsidRPr="00425312">
              <w:rPr>
                <w:b/>
              </w:rPr>
              <w:br/>
              <w:t>Motivazione / Osservazioni</w:t>
            </w:r>
          </w:p>
        </w:tc>
        <w:tc>
          <w:tcPr>
            <w:tcW w:w="532" w:type="dxa"/>
            <w:tcBorders>
              <w:top w:val="nil"/>
              <w:bottom w:val="nil"/>
              <w:right w:val="nil"/>
            </w:tcBorders>
            <w:shd w:val="clear" w:color="auto" w:fill="auto"/>
          </w:tcPr>
          <w:p w14:paraId="2077F387" w14:textId="77777777" w:rsidR="00B33F4A" w:rsidRPr="00425312" w:rsidRDefault="00B33F4A">
            <w:pPr>
              <w:widowControl/>
              <w:spacing w:after="0" w:line="240" w:lineRule="auto"/>
              <w:rPr>
                <w:b/>
              </w:rPr>
            </w:pPr>
          </w:p>
        </w:tc>
      </w:tr>
      <w:tr w:rsidR="00B33F4A" w:rsidRPr="00425312" w14:paraId="11465155" w14:textId="77777777" w:rsidTr="71E96361">
        <w:trPr>
          <w:cantSplit/>
        </w:trPr>
        <w:tc>
          <w:tcPr>
            <w:tcW w:w="2943" w:type="dxa"/>
            <w:shd w:val="clear" w:color="auto" w:fill="auto"/>
          </w:tcPr>
          <w:p w14:paraId="64A670A8" w14:textId="67C3E1A8" w:rsidR="00B33F4A" w:rsidRPr="00425312" w:rsidRDefault="00C73CA7">
            <w:r w:rsidRPr="00425312">
              <w:t>Art. 2, al. 2</w:t>
            </w:r>
          </w:p>
        </w:tc>
        <w:tc>
          <w:tcPr>
            <w:tcW w:w="5529" w:type="dxa"/>
            <w:shd w:val="clear" w:color="auto" w:fill="auto"/>
          </w:tcPr>
          <w:p w14:paraId="13274BD5" w14:textId="6504A8A9" w:rsidR="00305D0B" w:rsidRPr="00425312" w:rsidRDefault="00544CBE">
            <w:pPr>
              <w:rPr>
                <w:u w:val="single"/>
              </w:rPr>
            </w:pPr>
            <w:r>
              <w:rPr>
                <w:u w:val="single"/>
              </w:rPr>
              <w:t>Champ</w:t>
            </w:r>
            <w:r w:rsidR="00F00D83" w:rsidRPr="00425312">
              <w:rPr>
                <w:u w:val="single"/>
              </w:rPr>
              <w:t xml:space="preserve"> d</w:t>
            </w:r>
            <w:r w:rsidR="009A01A5" w:rsidRPr="00425312">
              <w:rPr>
                <w:u w:val="single"/>
              </w:rPr>
              <w:t>’</w:t>
            </w:r>
            <w:r w:rsidR="00F00D83" w:rsidRPr="00425312">
              <w:rPr>
                <w:u w:val="single"/>
              </w:rPr>
              <w:t>application</w:t>
            </w:r>
          </w:p>
          <w:p w14:paraId="7278B72E" w14:textId="0D4D528D" w:rsidR="000E7819" w:rsidRPr="00425312" w:rsidRDefault="0045306E">
            <w:r w:rsidRPr="00425312">
              <w:t>Proposition</w:t>
            </w:r>
            <w:r w:rsidR="000E7819" w:rsidRPr="00425312">
              <w:t xml:space="preserve"> de </w:t>
            </w:r>
            <w:proofErr w:type="gramStart"/>
            <w:r w:rsidR="000E7819" w:rsidRPr="00425312">
              <w:t>modification:</w:t>
            </w:r>
            <w:proofErr w:type="gramEnd"/>
          </w:p>
          <w:p w14:paraId="73D9A519" w14:textId="28164101" w:rsidR="00907D9D" w:rsidRPr="00425312" w:rsidRDefault="00907D9D" w:rsidP="00A2241E">
            <w:pPr>
              <w:rPr>
                <w:i/>
              </w:rPr>
            </w:pPr>
            <w:r w:rsidRPr="00425312">
              <w:rPr>
                <w:i/>
              </w:rPr>
              <w:t>Elle s</w:t>
            </w:r>
            <w:r w:rsidR="009A01A5" w:rsidRPr="00425312">
              <w:rPr>
                <w:i/>
              </w:rPr>
              <w:t>’</w:t>
            </w:r>
            <w:r w:rsidRPr="00425312">
              <w:rPr>
                <w:i/>
              </w:rPr>
              <w:t xml:space="preserve">applique également aux sites de consommation </w:t>
            </w:r>
            <w:proofErr w:type="gramStart"/>
            <w:r w:rsidRPr="00425312">
              <w:rPr>
                <w:i/>
              </w:rPr>
              <w:t>servant:</w:t>
            </w:r>
            <w:proofErr w:type="gramEnd"/>
          </w:p>
          <w:p w14:paraId="7F9FAB56" w14:textId="46BF0BCF" w:rsidR="00907D9D" w:rsidRPr="00425312" w:rsidRDefault="00E35B15" w:rsidP="00907D9D">
            <w:pPr>
              <w:numPr>
                <w:ilvl w:val="0"/>
                <w:numId w:val="27"/>
              </w:numPr>
              <w:rPr>
                <w:i/>
              </w:rPr>
            </w:pPr>
            <w:proofErr w:type="gramStart"/>
            <w:r w:rsidRPr="00425312">
              <w:rPr>
                <w:i/>
              </w:rPr>
              <w:t>aux</w:t>
            </w:r>
            <w:proofErr w:type="gramEnd"/>
            <w:r w:rsidRPr="00425312">
              <w:rPr>
                <w:i/>
              </w:rPr>
              <w:t xml:space="preserve"> infrastructures </w:t>
            </w:r>
            <w:r w:rsidRPr="00425312">
              <w:rPr>
                <w:b/>
                <w:i/>
                <w:color w:val="FF0000"/>
              </w:rPr>
              <w:t>associées</w:t>
            </w:r>
            <w:r w:rsidRPr="006E5CE8">
              <w:rPr>
                <w:b/>
                <w:bCs/>
                <w:i/>
                <w:strike/>
              </w:rPr>
              <w:t xml:space="preserve"> </w:t>
            </w:r>
            <w:r w:rsidRPr="00425312">
              <w:rPr>
                <w:b/>
                <w:bCs/>
                <w:i/>
                <w:strike/>
              </w:rPr>
              <w:t>nécessaires pour assurer l</w:t>
            </w:r>
            <w:r w:rsidR="009A01A5" w:rsidRPr="00425312">
              <w:rPr>
                <w:b/>
                <w:bCs/>
                <w:i/>
                <w:strike/>
              </w:rPr>
              <w:t>’</w:t>
            </w:r>
            <w:r w:rsidRPr="00425312">
              <w:rPr>
                <w:b/>
                <w:bCs/>
                <w:i/>
                <w:strike/>
              </w:rPr>
              <w:t>exploitation du transport de voyageurs et de marchandises ou à l</w:t>
            </w:r>
            <w:r w:rsidR="009A01A5" w:rsidRPr="00425312">
              <w:rPr>
                <w:b/>
                <w:bCs/>
                <w:i/>
                <w:strike/>
              </w:rPr>
              <w:t>’</w:t>
            </w:r>
            <w:r w:rsidRPr="00425312">
              <w:rPr>
                <w:b/>
                <w:bCs/>
                <w:i/>
                <w:strike/>
              </w:rPr>
              <w:t>entretien des infrastructures</w:t>
            </w:r>
            <w:r w:rsidRPr="00425312">
              <w:rPr>
                <w:i/>
              </w:rPr>
              <w:t>;</w:t>
            </w:r>
          </w:p>
          <w:p w14:paraId="603CC0FC" w14:textId="100666B7" w:rsidR="00115224" w:rsidRPr="00425312" w:rsidRDefault="00856BBD" w:rsidP="00856BBD">
            <w:pPr>
              <w:numPr>
                <w:ilvl w:val="0"/>
                <w:numId w:val="27"/>
              </w:numPr>
              <w:rPr>
                <w:i/>
                <w:iCs/>
              </w:rPr>
            </w:pPr>
            <w:proofErr w:type="gramStart"/>
            <w:r w:rsidRPr="00425312">
              <w:rPr>
                <w:i/>
              </w:rPr>
              <w:t>aux</w:t>
            </w:r>
            <w:proofErr w:type="gramEnd"/>
            <w:r w:rsidRPr="00425312">
              <w:rPr>
                <w:i/>
              </w:rPr>
              <w:t xml:space="preserve"> chantiers </w:t>
            </w:r>
            <w:r w:rsidRPr="00425312">
              <w:rPr>
                <w:b/>
                <w:i/>
                <w:color w:val="FF0000"/>
              </w:rPr>
              <w:t>associés</w:t>
            </w:r>
            <w:r w:rsidRPr="006E5CE8">
              <w:rPr>
                <w:b/>
                <w:bCs/>
                <w:i/>
                <w:strike/>
              </w:rPr>
              <w:t xml:space="preserve"> </w:t>
            </w:r>
            <w:r w:rsidRPr="00425312">
              <w:rPr>
                <w:b/>
                <w:bCs/>
                <w:i/>
                <w:strike/>
              </w:rPr>
              <w:t>nécessaires pour assurer le transport de voyageurs et de marchandises</w:t>
            </w:r>
            <w:r w:rsidRPr="00425312">
              <w:rPr>
                <w:i/>
              </w:rPr>
              <w:t xml:space="preserve">. </w:t>
            </w:r>
          </w:p>
        </w:tc>
        <w:tc>
          <w:tcPr>
            <w:tcW w:w="5620" w:type="dxa"/>
            <w:shd w:val="clear" w:color="auto" w:fill="auto"/>
          </w:tcPr>
          <w:p w14:paraId="675ADE6E" w14:textId="78B2081C" w:rsidR="0083054B" w:rsidRPr="00425312" w:rsidRDefault="001775D4" w:rsidP="001775D4">
            <w:r w:rsidRPr="00425312">
              <w:t>Les formulations</w:t>
            </w:r>
            <w:proofErr w:type="gramStart"/>
            <w:r w:rsidRPr="00425312">
              <w:t xml:space="preserve"> «infrastructures</w:t>
            </w:r>
            <w:proofErr w:type="gramEnd"/>
            <w:r w:rsidRPr="00425312">
              <w:t xml:space="preserve"> nécessaires pour assurer l</w:t>
            </w:r>
            <w:r w:rsidR="009A01A5" w:rsidRPr="00425312">
              <w:t>’</w:t>
            </w:r>
            <w:r w:rsidRPr="00425312">
              <w:t>exploitation du transport de voyageurs et de marchandises» et «chantiers nécessaires pour assurer l</w:t>
            </w:r>
            <w:r w:rsidR="005F3AB3">
              <w:t>e transport</w:t>
            </w:r>
            <w:r w:rsidRPr="00425312">
              <w:t xml:space="preserve">» permettent une compréhension étroite visant à établir un lien de causalité direct. </w:t>
            </w:r>
          </w:p>
          <w:p w14:paraId="451F25B0" w14:textId="2AD06AEF" w:rsidR="005452AA" w:rsidRPr="00425312" w:rsidRDefault="0083054B" w:rsidP="001775D4">
            <w:r w:rsidRPr="00425312">
              <w:t xml:space="preserve">Cela ne correspond </w:t>
            </w:r>
            <w:r w:rsidRPr="00425312">
              <w:rPr>
                <w:u w:val="single"/>
              </w:rPr>
              <w:t>pas</w:t>
            </w:r>
            <w:r w:rsidRPr="00425312">
              <w:t xml:space="preserve"> à l</w:t>
            </w:r>
            <w:r w:rsidR="009A01A5" w:rsidRPr="00425312">
              <w:t>’</w:t>
            </w:r>
            <w:r w:rsidRPr="00425312">
              <w:t>intention du modèle de gestion, lequel vis</w:t>
            </w:r>
            <w:r w:rsidR="0045306E" w:rsidRPr="00425312">
              <w:t>e</w:t>
            </w:r>
            <w:r w:rsidRPr="00425312">
              <w:t xml:space="preserve"> d</w:t>
            </w:r>
            <w:r w:rsidR="009A01A5" w:rsidRPr="00425312">
              <w:t>’</w:t>
            </w:r>
            <w:r w:rsidRPr="00425312">
              <w:t xml:space="preserve">emblée et de manière explicite une solution globale pour les </w:t>
            </w:r>
            <w:r w:rsidR="005B5BC3">
              <w:t>transports publics</w:t>
            </w:r>
            <w:r w:rsidRPr="00425312">
              <w:t xml:space="preserve"> concernés par l</w:t>
            </w:r>
            <w:r w:rsidR="009A01A5" w:rsidRPr="00425312">
              <w:t>’</w:t>
            </w:r>
            <w:r w:rsidRPr="00425312">
              <w:t>approvisionnement en énergie. La solution globale comprend également les bureaux du personnel non nécessaires à l</w:t>
            </w:r>
            <w:r w:rsidR="009A01A5" w:rsidRPr="00425312">
              <w:t>’</w:t>
            </w:r>
            <w:r w:rsidRPr="00425312">
              <w:t>exploitation, les ateliers pour la transformation du matériel roulant ou encore les chantiers pour l</w:t>
            </w:r>
            <w:r w:rsidR="009A01A5" w:rsidRPr="00425312">
              <w:t>’</w:t>
            </w:r>
            <w:r w:rsidRPr="00425312">
              <w:t>extension de l</w:t>
            </w:r>
            <w:r w:rsidR="009A01A5" w:rsidRPr="00425312">
              <w:t>’</w:t>
            </w:r>
            <w:r w:rsidRPr="00425312">
              <w:t>infrastructure de transport</w:t>
            </w:r>
            <w:r w:rsidR="004A62E4">
              <w:t xml:space="preserve">, </w:t>
            </w:r>
            <w:r w:rsidR="00DC6FE1">
              <w:t>ce</w:t>
            </w:r>
            <w:r w:rsidRPr="00425312">
              <w:t xml:space="preserve"> pour éviter une confusion ou un amalgame entre les différents régimes de gestion ainsi que des dommages consécutifs dans les </w:t>
            </w:r>
            <w:r w:rsidR="004A62E4">
              <w:t>transports publics</w:t>
            </w:r>
            <w:r w:rsidRPr="00425312">
              <w:t xml:space="preserve"> dus aux intervalles non utilisés. </w:t>
            </w:r>
          </w:p>
          <w:p w14:paraId="15C4693A" w14:textId="32571CCC" w:rsidR="0093432D" w:rsidRPr="00425312" w:rsidRDefault="00D0395B" w:rsidP="00715F84">
            <w:r w:rsidRPr="00425312">
              <w:t>Ce point est clairement stipulé dans le rapport explicatif, mais pas dans l</w:t>
            </w:r>
            <w:r w:rsidR="009A01A5" w:rsidRPr="00425312">
              <w:t>’</w:t>
            </w:r>
            <w:r w:rsidRPr="00425312">
              <w:t>actuelle version du projet d</w:t>
            </w:r>
            <w:r w:rsidR="009A01A5" w:rsidRPr="00425312">
              <w:t>’</w:t>
            </w:r>
            <w:r w:rsidRPr="00425312">
              <w:t>ordonnance.</w:t>
            </w:r>
          </w:p>
        </w:tc>
        <w:tc>
          <w:tcPr>
            <w:tcW w:w="532" w:type="dxa"/>
            <w:tcBorders>
              <w:top w:val="nil"/>
              <w:bottom w:val="nil"/>
              <w:right w:val="nil"/>
            </w:tcBorders>
            <w:shd w:val="clear" w:color="auto" w:fill="auto"/>
          </w:tcPr>
          <w:p w14:paraId="2B059C34" w14:textId="77777777" w:rsidR="00B33F4A" w:rsidRPr="00425312" w:rsidRDefault="00B33F4A">
            <w:pPr>
              <w:rPr>
                <w:b/>
              </w:rPr>
            </w:pPr>
          </w:p>
        </w:tc>
      </w:tr>
      <w:tr w:rsidR="00B33F4A" w:rsidRPr="00425312" w14:paraId="1C0A1D61" w14:textId="77777777" w:rsidTr="71E96361">
        <w:trPr>
          <w:cantSplit/>
        </w:trPr>
        <w:tc>
          <w:tcPr>
            <w:tcW w:w="2943" w:type="dxa"/>
            <w:shd w:val="clear" w:color="auto" w:fill="auto"/>
          </w:tcPr>
          <w:p w14:paraId="51AAE692" w14:textId="04A1E834" w:rsidR="00B33F4A" w:rsidRPr="00425312" w:rsidRDefault="00673D1C">
            <w:r w:rsidRPr="00425312">
              <w:t>Art. 2, al. 3</w:t>
            </w:r>
          </w:p>
        </w:tc>
        <w:tc>
          <w:tcPr>
            <w:tcW w:w="5529" w:type="dxa"/>
            <w:shd w:val="clear" w:color="auto" w:fill="auto"/>
          </w:tcPr>
          <w:p w14:paraId="5B8371C1" w14:textId="3331534B" w:rsidR="00236F70" w:rsidRPr="00425312" w:rsidRDefault="0045306E" w:rsidP="00236F70">
            <w:r w:rsidRPr="00425312">
              <w:t>Proposition</w:t>
            </w:r>
            <w:r w:rsidR="00236F70" w:rsidRPr="00425312">
              <w:t xml:space="preserve"> de </w:t>
            </w:r>
            <w:proofErr w:type="gramStart"/>
            <w:r w:rsidR="00236F70" w:rsidRPr="00425312">
              <w:t>modification:</w:t>
            </w:r>
            <w:proofErr w:type="gramEnd"/>
          </w:p>
          <w:p w14:paraId="47617D97" w14:textId="2360742E" w:rsidR="00860779" w:rsidRPr="00425312" w:rsidRDefault="00860779" w:rsidP="00860779">
            <w:pPr>
              <w:rPr>
                <w:i/>
              </w:rPr>
            </w:pPr>
            <w:r w:rsidRPr="00425312">
              <w:rPr>
                <w:i/>
              </w:rPr>
              <w:t>Elle ne s</w:t>
            </w:r>
            <w:r w:rsidR="009A01A5" w:rsidRPr="00425312">
              <w:rPr>
                <w:i/>
              </w:rPr>
              <w:t>’</w:t>
            </w:r>
            <w:r w:rsidRPr="00425312">
              <w:rPr>
                <w:i/>
              </w:rPr>
              <w:t xml:space="preserve">applique </w:t>
            </w:r>
            <w:proofErr w:type="gramStart"/>
            <w:r w:rsidRPr="00425312">
              <w:rPr>
                <w:i/>
              </w:rPr>
              <w:t>pas:</w:t>
            </w:r>
            <w:proofErr w:type="gramEnd"/>
            <w:r w:rsidRPr="00425312">
              <w:rPr>
                <w:i/>
              </w:rPr>
              <w:t xml:space="preserve"> </w:t>
            </w:r>
          </w:p>
          <w:p w14:paraId="245C4DD3" w14:textId="7FE1F8B7" w:rsidR="00B33F4A" w:rsidRPr="00425312" w:rsidRDefault="00860779" w:rsidP="00860779">
            <w:pPr>
              <w:numPr>
                <w:ilvl w:val="0"/>
                <w:numId w:val="28"/>
              </w:numPr>
              <w:rPr>
                <w:i/>
              </w:rPr>
            </w:pPr>
            <w:bookmarkStart w:id="2" w:name="_Hlk144925327"/>
            <w:proofErr w:type="gramStart"/>
            <w:r w:rsidRPr="00425312">
              <w:t>aux</w:t>
            </w:r>
            <w:proofErr w:type="gramEnd"/>
            <w:r w:rsidRPr="00425312">
              <w:t xml:space="preserve"> sites de consommation</w:t>
            </w:r>
            <w:r w:rsidRPr="00F62587">
              <w:rPr>
                <w:b/>
                <w:bCs/>
                <w:strike/>
              </w:rPr>
              <w:t xml:space="preserve"> </w:t>
            </w:r>
            <w:r w:rsidRPr="00425312">
              <w:rPr>
                <w:b/>
                <w:bCs/>
                <w:strike/>
              </w:rPr>
              <w:t>qui ne sont pas nécessaires pour garantir des offres remplissant une fonction de desserte</w:t>
            </w:r>
            <w:bookmarkEnd w:id="2"/>
            <w:r w:rsidRPr="00425312">
              <w:rPr>
                <w:i/>
              </w:rPr>
              <w:t xml:space="preserve"> </w:t>
            </w:r>
            <w:r w:rsidRPr="00425312">
              <w:rPr>
                <w:b/>
                <w:i/>
                <w:color w:val="FF0000"/>
              </w:rPr>
              <w:t>qui servent à l</w:t>
            </w:r>
            <w:r w:rsidR="009A01A5" w:rsidRPr="00425312">
              <w:rPr>
                <w:b/>
                <w:i/>
                <w:color w:val="FF0000"/>
              </w:rPr>
              <w:t>’</w:t>
            </w:r>
            <w:r w:rsidRPr="00425312">
              <w:rPr>
                <w:b/>
                <w:i/>
                <w:color w:val="FF0000"/>
              </w:rPr>
              <w:t>approvisionnement d</w:t>
            </w:r>
            <w:r w:rsidR="009A01A5" w:rsidRPr="00425312">
              <w:rPr>
                <w:b/>
                <w:i/>
                <w:color w:val="FF0000"/>
              </w:rPr>
              <w:t>’</w:t>
            </w:r>
            <w:r w:rsidRPr="00425312">
              <w:rPr>
                <w:b/>
                <w:i/>
                <w:color w:val="FF0000"/>
              </w:rPr>
              <w:t>offres sans fonction de desserte ainsi que d</w:t>
            </w:r>
            <w:r w:rsidR="009A01A5" w:rsidRPr="00425312">
              <w:rPr>
                <w:b/>
                <w:i/>
                <w:color w:val="FF0000"/>
              </w:rPr>
              <w:t>’</w:t>
            </w:r>
            <w:r w:rsidRPr="00425312">
              <w:rPr>
                <w:b/>
                <w:i/>
                <w:color w:val="FF0000"/>
              </w:rPr>
              <w:t>infrastructures associées</w:t>
            </w:r>
            <w:r w:rsidRPr="00425312">
              <w:rPr>
                <w:i/>
              </w:rPr>
              <w:t xml:space="preserve">;  </w:t>
            </w:r>
          </w:p>
        </w:tc>
        <w:tc>
          <w:tcPr>
            <w:tcW w:w="5620" w:type="dxa"/>
            <w:shd w:val="clear" w:color="auto" w:fill="auto"/>
          </w:tcPr>
          <w:p w14:paraId="042268E1" w14:textId="3C5F4AF6" w:rsidR="00B33F4A" w:rsidRPr="00425312" w:rsidRDefault="00597579">
            <w:r w:rsidRPr="00425312">
              <w:t xml:space="preserve">Même justification que pour la </w:t>
            </w:r>
            <w:r w:rsidR="0045306E" w:rsidRPr="00425312">
              <w:t>proposition</w:t>
            </w:r>
            <w:r w:rsidRPr="00425312">
              <w:t xml:space="preserve"> de modification de l</w:t>
            </w:r>
            <w:r w:rsidR="009A01A5" w:rsidRPr="00425312">
              <w:t>’</w:t>
            </w:r>
            <w:r w:rsidRPr="00425312">
              <w:t>art. 2, al. 2.</w:t>
            </w:r>
          </w:p>
        </w:tc>
        <w:tc>
          <w:tcPr>
            <w:tcW w:w="532" w:type="dxa"/>
            <w:tcBorders>
              <w:top w:val="nil"/>
              <w:bottom w:val="nil"/>
              <w:right w:val="nil"/>
            </w:tcBorders>
            <w:shd w:val="clear" w:color="auto" w:fill="auto"/>
          </w:tcPr>
          <w:p w14:paraId="371E2F52" w14:textId="77777777" w:rsidR="00B33F4A" w:rsidRPr="00425312" w:rsidRDefault="00B33F4A">
            <w:pPr>
              <w:rPr>
                <w:b/>
              </w:rPr>
            </w:pPr>
          </w:p>
        </w:tc>
      </w:tr>
      <w:tr w:rsidR="00B33F4A" w:rsidRPr="00425312" w14:paraId="06BEB097" w14:textId="77777777" w:rsidTr="00202D0D">
        <w:trPr>
          <w:cantSplit/>
        </w:trPr>
        <w:tc>
          <w:tcPr>
            <w:tcW w:w="2943" w:type="dxa"/>
            <w:shd w:val="clear" w:color="auto" w:fill="auto"/>
          </w:tcPr>
          <w:p w14:paraId="4B15DBBE" w14:textId="52D2C2A9" w:rsidR="00B33F4A" w:rsidRPr="00425312" w:rsidRDefault="009A73E7">
            <w:r w:rsidRPr="00425312">
              <w:lastRenderedPageBreak/>
              <w:t>Art. 3 – Explications d</w:t>
            </w:r>
            <w:r w:rsidR="009A01A5" w:rsidRPr="00425312">
              <w:t>’</w:t>
            </w:r>
            <w:r w:rsidRPr="00425312">
              <w:t>ordre général</w:t>
            </w:r>
          </w:p>
        </w:tc>
        <w:tc>
          <w:tcPr>
            <w:tcW w:w="5529" w:type="dxa"/>
            <w:shd w:val="clear" w:color="auto" w:fill="auto"/>
          </w:tcPr>
          <w:p w14:paraId="16705A73" w14:textId="6370C626" w:rsidR="00305D0B" w:rsidRPr="00425312" w:rsidRDefault="00305D0B">
            <w:pPr>
              <w:rPr>
                <w:u w:val="single"/>
              </w:rPr>
            </w:pPr>
            <w:r w:rsidRPr="00425312">
              <w:rPr>
                <w:u w:val="single"/>
              </w:rPr>
              <w:t>Réduction du transport de voyageurs</w:t>
            </w:r>
          </w:p>
          <w:p w14:paraId="7585A404" w14:textId="00C9A0CF" w:rsidR="00B33F4A" w:rsidRPr="00425312" w:rsidRDefault="003B0F6D">
            <w:r w:rsidRPr="00425312">
              <w:t>Le thème des mesures d</w:t>
            </w:r>
            <w:r w:rsidR="009A01A5" w:rsidRPr="00425312">
              <w:t>’</w:t>
            </w:r>
            <w:r w:rsidRPr="00425312">
              <w:t>accompagnement visant à réduire la mobilité doit être intégré dans le rapport explicatif.</w:t>
            </w:r>
          </w:p>
          <w:p w14:paraId="08BE6BA6" w14:textId="6466287F" w:rsidR="003B0F6D" w:rsidRPr="00425312" w:rsidRDefault="0045306E">
            <w:r w:rsidRPr="00425312">
              <w:t>Proposition</w:t>
            </w:r>
            <w:r w:rsidR="00236F70" w:rsidRPr="00425312">
              <w:t xml:space="preserve"> de complément, en introduction au rapport explicatif </w:t>
            </w:r>
            <w:proofErr w:type="gramStart"/>
            <w:r w:rsidR="00236F70" w:rsidRPr="00425312">
              <w:t>existant:</w:t>
            </w:r>
            <w:proofErr w:type="gramEnd"/>
          </w:p>
          <w:p w14:paraId="209BE922" w14:textId="220A92E3" w:rsidR="00236F70" w:rsidRPr="00425312" w:rsidRDefault="7FE04BA2">
            <w:r w:rsidRPr="00425312">
              <w:rPr>
                <w:b/>
                <w:i/>
                <w:color w:val="FF0000"/>
              </w:rPr>
              <w:t>Si une gestion et, par conséquent</w:t>
            </w:r>
            <w:r w:rsidR="007F4314">
              <w:rPr>
                <w:b/>
                <w:i/>
                <w:color w:val="FF0000"/>
              </w:rPr>
              <w:t>,</w:t>
            </w:r>
            <w:r w:rsidRPr="00425312">
              <w:rPr>
                <w:b/>
                <w:i/>
                <w:color w:val="FF0000"/>
              </w:rPr>
              <w:t xml:space="preserve"> une réduction de la consommation d</w:t>
            </w:r>
            <w:r w:rsidR="009A01A5" w:rsidRPr="00425312">
              <w:rPr>
                <w:b/>
                <w:i/>
                <w:color w:val="FF0000"/>
              </w:rPr>
              <w:t>’</w:t>
            </w:r>
            <w:r w:rsidRPr="00425312">
              <w:rPr>
                <w:b/>
                <w:i/>
                <w:color w:val="FF0000"/>
              </w:rPr>
              <w:t xml:space="preserve">électricité dans les TP </w:t>
            </w:r>
            <w:proofErr w:type="gramStart"/>
            <w:r w:rsidRPr="00425312">
              <w:rPr>
                <w:b/>
                <w:i/>
                <w:color w:val="FF0000"/>
              </w:rPr>
              <w:t>s</w:t>
            </w:r>
            <w:r w:rsidR="009A01A5" w:rsidRPr="00425312">
              <w:rPr>
                <w:b/>
                <w:i/>
                <w:color w:val="FF0000"/>
              </w:rPr>
              <w:t>’</w:t>
            </w:r>
            <w:r w:rsidRPr="00425312">
              <w:rPr>
                <w:b/>
                <w:i/>
                <w:color w:val="FF0000"/>
              </w:rPr>
              <w:t>avère</w:t>
            </w:r>
            <w:r w:rsidR="00263EDC">
              <w:rPr>
                <w:b/>
                <w:i/>
                <w:color w:val="FF0000"/>
              </w:rPr>
              <w:t>nt</w:t>
            </w:r>
            <w:proofErr w:type="gramEnd"/>
            <w:r w:rsidRPr="00425312">
              <w:rPr>
                <w:b/>
                <w:i/>
                <w:color w:val="FF0000"/>
              </w:rPr>
              <w:t xml:space="preserve"> nécessaire</w:t>
            </w:r>
            <w:r w:rsidR="00263EDC">
              <w:rPr>
                <w:b/>
                <w:i/>
                <w:color w:val="FF0000"/>
              </w:rPr>
              <w:t>s</w:t>
            </w:r>
            <w:r w:rsidRPr="00425312">
              <w:rPr>
                <w:b/>
                <w:i/>
                <w:color w:val="FF0000"/>
              </w:rPr>
              <w:t>, elle</w:t>
            </w:r>
            <w:r w:rsidR="00A43EBD">
              <w:rPr>
                <w:b/>
                <w:i/>
                <w:color w:val="FF0000"/>
              </w:rPr>
              <w:t>s</w:t>
            </w:r>
            <w:r w:rsidRPr="00425312">
              <w:rPr>
                <w:b/>
                <w:i/>
                <w:color w:val="FF0000"/>
              </w:rPr>
              <w:t xml:space="preserve"> devr</w:t>
            </w:r>
            <w:r w:rsidR="00A43EBD">
              <w:rPr>
                <w:b/>
                <w:i/>
                <w:color w:val="FF0000"/>
              </w:rPr>
              <w:t>ont</w:t>
            </w:r>
            <w:r w:rsidRPr="00425312">
              <w:rPr>
                <w:b/>
                <w:i/>
                <w:color w:val="FF0000"/>
              </w:rPr>
              <w:t xml:space="preserve"> s</w:t>
            </w:r>
            <w:r w:rsidR="009A01A5" w:rsidRPr="00425312">
              <w:rPr>
                <w:b/>
                <w:i/>
                <w:color w:val="FF0000"/>
              </w:rPr>
              <w:t>’</w:t>
            </w:r>
            <w:r w:rsidRPr="00425312">
              <w:rPr>
                <w:b/>
                <w:i/>
                <w:color w:val="FF0000"/>
              </w:rPr>
              <w:t>accompagner de mesures (appels, restrictions, interdictions) entraînant une réduction correspondante de la mobilité ou de la</w:t>
            </w:r>
            <w:r w:rsidR="00400862" w:rsidRPr="00425312">
              <w:rPr>
                <w:b/>
                <w:i/>
                <w:color w:val="FF0000"/>
              </w:rPr>
              <w:t xml:space="preserve"> demande</w:t>
            </w:r>
            <w:r w:rsidRPr="00425312">
              <w:rPr>
                <w:b/>
                <w:i/>
                <w:color w:val="FF0000"/>
              </w:rPr>
              <w:t>. Une réduction de la capacité des TP sans restriction appliquée en parallèle dans d</w:t>
            </w:r>
            <w:r w:rsidR="009A01A5" w:rsidRPr="00425312">
              <w:rPr>
                <w:b/>
                <w:i/>
                <w:color w:val="FF0000"/>
              </w:rPr>
              <w:t>’</w:t>
            </w:r>
            <w:r w:rsidRPr="00425312">
              <w:rPr>
                <w:b/>
                <w:i/>
                <w:color w:val="FF0000"/>
              </w:rPr>
              <w:t xml:space="preserve">autres domaines pourrait conduire à un effondrement du trafic, en particulier dans le trafic pendulaire et scolaire. Il faut également tenir compte du comportement compensatoire que peut adopter la population en matière de mobilité dans un contexte de crise. Pour </w:t>
            </w:r>
            <w:proofErr w:type="gramStart"/>
            <w:r w:rsidRPr="00425312">
              <w:rPr>
                <w:b/>
                <w:i/>
                <w:color w:val="FF0000"/>
              </w:rPr>
              <w:t>exemple:</w:t>
            </w:r>
            <w:proofErr w:type="gramEnd"/>
            <w:r w:rsidRPr="00425312">
              <w:rPr>
                <w:b/>
                <w:i/>
                <w:color w:val="FF0000"/>
              </w:rPr>
              <w:t xml:space="preserve"> pendant la pandémie de coronavirus, le trafic pendulaire s</w:t>
            </w:r>
            <w:r w:rsidR="009A01A5" w:rsidRPr="00425312">
              <w:rPr>
                <w:b/>
                <w:i/>
                <w:color w:val="FF0000"/>
              </w:rPr>
              <w:t>’</w:t>
            </w:r>
            <w:r w:rsidRPr="00425312">
              <w:rPr>
                <w:b/>
                <w:i/>
                <w:color w:val="FF0000"/>
              </w:rPr>
              <w:t xml:space="preserve">est quasiment effondré, tandis que le trafic de fin de semaine a augmenté de manière significative. </w:t>
            </w:r>
            <w:r w:rsidRPr="00425312">
              <w:rPr>
                <w:i/>
              </w:rPr>
              <w:t>Les quatre niveaux suivants</w:t>
            </w:r>
            <w:r w:rsidR="00AA5510">
              <w:rPr>
                <w:i/>
              </w:rPr>
              <w:t xml:space="preserve"> sont</w:t>
            </w:r>
            <w:r w:rsidRPr="00425312">
              <w:rPr>
                <w:i/>
              </w:rPr>
              <w:t xml:space="preserve"> prévus pour le transport grandes lignes, le transport régional et le transport local</w:t>
            </w:r>
            <w:r w:rsidR="00AA5510">
              <w:rPr>
                <w:i/>
              </w:rPr>
              <w:t xml:space="preserve"> et fixés</w:t>
            </w:r>
            <w:r w:rsidRPr="00425312">
              <w:rPr>
                <w:i/>
              </w:rPr>
              <w:t xml:space="preserve"> à l</w:t>
            </w:r>
            <w:r w:rsidR="009A01A5" w:rsidRPr="00425312">
              <w:rPr>
                <w:i/>
              </w:rPr>
              <w:t>’</w:t>
            </w:r>
            <w:r w:rsidRPr="00425312">
              <w:rPr>
                <w:i/>
              </w:rPr>
              <w:t xml:space="preserve">annexe 1. </w:t>
            </w:r>
            <w:r w:rsidRPr="00425312">
              <w:rPr>
                <w:b/>
                <w:i/>
                <w:color w:val="FF0000"/>
              </w:rPr>
              <w:t>Ils peuvent être ordonnés de manière coordonnée avec les mesures de réduction de la mobilité</w:t>
            </w:r>
            <w:r w:rsidR="00D20D78">
              <w:rPr>
                <w:b/>
                <w:i/>
                <w:color w:val="FF0000"/>
              </w:rPr>
              <w:t>.</w:t>
            </w:r>
            <w:r w:rsidRPr="00425312">
              <w:rPr>
                <w:b/>
                <w:i/>
                <w:color w:val="FF0000"/>
              </w:rPr>
              <w:t xml:space="preserve"> </w:t>
            </w:r>
          </w:p>
        </w:tc>
        <w:tc>
          <w:tcPr>
            <w:tcW w:w="5620" w:type="dxa"/>
            <w:shd w:val="clear" w:color="auto" w:fill="auto"/>
          </w:tcPr>
          <w:p w14:paraId="184B806A" w14:textId="1DC4BCE0" w:rsidR="00B33F4A" w:rsidRPr="00425312" w:rsidRDefault="006A0FEB">
            <w:r w:rsidRPr="00425312">
              <w:t>Voir les remarques générales d</w:t>
            </w:r>
            <w:r w:rsidR="009A01A5" w:rsidRPr="00425312">
              <w:t>’</w:t>
            </w:r>
            <w:r w:rsidRPr="00425312">
              <w:t>introduction.</w:t>
            </w:r>
          </w:p>
        </w:tc>
        <w:tc>
          <w:tcPr>
            <w:tcW w:w="532" w:type="dxa"/>
            <w:tcBorders>
              <w:top w:val="nil"/>
              <w:bottom w:val="nil"/>
              <w:right w:val="nil"/>
            </w:tcBorders>
            <w:shd w:val="clear" w:color="auto" w:fill="auto"/>
          </w:tcPr>
          <w:p w14:paraId="238A2BCA" w14:textId="77777777" w:rsidR="00B33F4A" w:rsidRPr="00425312" w:rsidRDefault="00B33F4A">
            <w:pPr>
              <w:rPr>
                <w:b/>
              </w:rPr>
            </w:pPr>
          </w:p>
        </w:tc>
      </w:tr>
      <w:tr w:rsidR="00B33F4A" w:rsidRPr="00425312" w14:paraId="7AAE5ACC" w14:textId="77777777" w:rsidTr="71E96361">
        <w:trPr>
          <w:cantSplit/>
        </w:trPr>
        <w:tc>
          <w:tcPr>
            <w:tcW w:w="2943" w:type="dxa"/>
          </w:tcPr>
          <w:p w14:paraId="5C8939EA" w14:textId="2EAA2135" w:rsidR="00B33F4A" w:rsidRPr="00425312" w:rsidRDefault="00B67B7D">
            <w:r w:rsidRPr="00425312">
              <w:lastRenderedPageBreak/>
              <w:t>Art. 3 – Explications relatives au niveau</w:t>
            </w:r>
            <w:r w:rsidR="00565635">
              <w:t> </w:t>
            </w:r>
            <w:r w:rsidRPr="00425312">
              <w:t>1</w:t>
            </w:r>
          </w:p>
        </w:tc>
        <w:tc>
          <w:tcPr>
            <w:tcW w:w="5529" w:type="dxa"/>
          </w:tcPr>
          <w:p w14:paraId="736C3074" w14:textId="60634CFC" w:rsidR="00B33F4A" w:rsidRPr="00425312" w:rsidRDefault="0045306E">
            <w:r w:rsidRPr="00425312">
              <w:t>Proposition</w:t>
            </w:r>
            <w:r w:rsidR="00530320" w:rsidRPr="00425312">
              <w:t xml:space="preserve"> de </w:t>
            </w:r>
            <w:proofErr w:type="gramStart"/>
            <w:r w:rsidR="00530320" w:rsidRPr="00425312">
              <w:t>complément:</w:t>
            </w:r>
            <w:proofErr w:type="gramEnd"/>
          </w:p>
          <w:p w14:paraId="177FB488" w14:textId="3B4B05C8" w:rsidR="00B33F4A" w:rsidRPr="00425312" w:rsidRDefault="00C26DAC">
            <w:pPr>
              <w:rPr>
                <w:i/>
              </w:rPr>
            </w:pPr>
            <w:r w:rsidRPr="00425312">
              <w:rPr>
                <w:i/>
              </w:rPr>
              <w:t>[…] Les prestations supplémentaires de transport durant les heures de pointe de lundi à vendredi permettent d</w:t>
            </w:r>
            <w:r w:rsidR="009A01A5" w:rsidRPr="00425312">
              <w:rPr>
                <w:i/>
              </w:rPr>
              <w:t>’</w:t>
            </w:r>
            <w:r w:rsidRPr="00425312">
              <w:rPr>
                <w:i/>
              </w:rPr>
              <w:t xml:space="preserve">assurer, grâce à une densification de la cadence, le transport du nombre journalier de pendulaires </w:t>
            </w:r>
            <w:r w:rsidR="00212C30">
              <w:rPr>
                <w:b/>
                <w:i/>
                <w:color w:val="FF0000"/>
              </w:rPr>
              <w:t>et</w:t>
            </w:r>
            <w:r w:rsidRPr="00425312">
              <w:rPr>
                <w:b/>
                <w:i/>
                <w:color w:val="FF0000"/>
              </w:rPr>
              <w:t xml:space="preserve"> d</w:t>
            </w:r>
            <w:r w:rsidR="00212C30">
              <w:rPr>
                <w:b/>
                <w:i/>
                <w:color w:val="FF0000"/>
              </w:rPr>
              <w:t>’</w:t>
            </w:r>
            <w:r w:rsidRPr="00425312">
              <w:rPr>
                <w:b/>
                <w:i/>
                <w:color w:val="FF0000"/>
              </w:rPr>
              <w:t>élèves</w:t>
            </w:r>
            <w:r w:rsidRPr="00425312">
              <w:rPr>
                <w:i/>
              </w:rPr>
              <w:t>. […]</w:t>
            </w:r>
          </w:p>
        </w:tc>
        <w:tc>
          <w:tcPr>
            <w:tcW w:w="5620" w:type="dxa"/>
          </w:tcPr>
          <w:p w14:paraId="193D75D0" w14:textId="2910020B" w:rsidR="00B33F4A" w:rsidRPr="00425312" w:rsidRDefault="00FC19AE">
            <w:r w:rsidRPr="00425312">
              <w:t>Le transport scolaire constitue un segment spécifique important qui ne doit pas être regroupé avec les pendulaires (actifs).</w:t>
            </w:r>
          </w:p>
        </w:tc>
        <w:tc>
          <w:tcPr>
            <w:tcW w:w="532" w:type="dxa"/>
            <w:tcBorders>
              <w:top w:val="nil"/>
              <w:bottom w:val="nil"/>
              <w:right w:val="nil"/>
            </w:tcBorders>
            <w:shd w:val="clear" w:color="auto" w:fill="auto"/>
          </w:tcPr>
          <w:p w14:paraId="65DD6D13" w14:textId="77777777" w:rsidR="00B33F4A" w:rsidRPr="00425312" w:rsidRDefault="00B33F4A">
            <w:pPr>
              <w:rPr>
                <w:b/>
              </w:rPr>
            </w:pPr>
          </w:p>
        </w:tc>
      </w:tr>
      <w:tr w:rsidR="00B33F4A" w:rsidRPr="00425312" w14:paraId="0512744E" w14:textId="77777777" w:rsidTr="71E96361">
        <w:trPr>
          <w:cantSplit/>
        </w:trPr>
        <w:tc>
          <w:tcPr>
            <w:tcW w:w="2943" w:type="dxa"/>
          </w:tcPr>
          <w:p w14:paraId="0DDE4FB4" w14:textId="0781B555" w:rsidR="00B33F4A" w:rsidRPr="00425312" w:rsidRDefault="004B1161">
            <w:r w:rsidRPr="00425312">
              <w:t>Art. 3 – Explications relatives au niveau 2</w:t>
            </w:r>
          </w:p>
        </w:tc>
        <w:tc>
          <w:tcPr>
            <w:tcW w:w="5529" w:type="dxa"/>
          </w:tcPr>
          <w:p w14:paraId="5FB0630B" w14:textId="6CD58BFF" w:rsidR="00B33F4A" w:rsidRPr="00425312" w:rsidRDefault="0045306E">
            <w:r w:rsidRPr="00425312">
              <w:t>Proposition</w:t>
            </w:r>
            <w:r w:rsidR="00971D51" w:rsidRPr="00425312">
              <w:t xml:space="preserve"> de </w:t>
            </w:r>
            <w:proofErr w:type="gramStart"/>
            <w:r w:rsidR="00971D51" w:rsidRPr="00425312">
              <w:t>modification:</w:t>
            </w:r>
            <w:proofErr w:type="gramEnd"/>
          </w:p>
          <w:p w14:paraId="24A46F27" w14:textId="5F38CF36" w:rsidR="00B33F4A" w:rsidRPr="00425312" w:rsidRDefault="00971D51">
            <w:pPr>
              <w:rPr>
                <w:i/>
              </w:rPr>
            </w:pPr>
            <w:r w:rsidRPr="00425312">
              <w:rPr>
                <w:i/>
              </w:rPr>
              <w:t xml:space="preserve">Les modules de renfort et les </w:t>
            </w:r>
            <w:r w:rsidRPr="00425312">
              <w:rPr>
                <w:b/>
                <w:i/>
                <w:color w:val="FF0000"/>
              </w:rPr>
              <w:t>véhicules à traction multiple</w:t>
            </w:r>
            <w:r w:rsidRPr="00425312">
              <w:rPr>
                <w:i/>
              </w:rPr>
              <w:t xml:space="preserve"> </w:t>
            </w:r>
            <w:r w:rsidRPr="00425312">
              <w:rPr>
                <w:b/>
                <w:bCs/>
                <w:i/>
                <w:strike/>
              </w:rPr>
              <w:t>trains à rames multiples</w:t>
            </w:r>
            <w:r w:rsidRPr="00425312">
              <w:rPr>
                <w:i/>
              </w:rPr>
              <w:t xml:space="preserve"> sont à cet effet soumis à des réductions.</w:t>
            </w:r>
          </w:p>
        </w:tc>
        <w:tc>
          <w:tcPr>
            <w:tcW w:w="5620" w:type="dxa"/>
          </w:tcPr>
          <w:p w14:paraId="5348FEF0" w14:textId="15B60A00" w:rsidR="00B33F4A" w:rsidRPr="00425312" w:rsidRDefault="00F45F34">
            <w:r w:rsidRPr="00425312">
              <w:t>Nous préconisons d</w:t>
            </w:r>
            <w:r w:rsidR="009A01A5" w:rsidRPr="00425312">
              <w:t>’</w:t>
            </w:r>
            <w:r w:rsidRPr="00425312">
              <w:t>employer ici le terme utilisé par la branche.</w:t>
            </w:r>
          </w:p>
        </w:tc>
        <w:tc>
          <w:tcPr>
            <w:tcW w:w="532" w:type="dxa"/>
            <w:tcBorders>
              <w:top w:val="nil"/>
              <w:bottom w:val="nil"/>
              <w:right w:val="nil"/>
            </w:tcBorders>
            <w:shd w:val="clear" w:color="auto" w:fill="auto"/>
          </w:tcPr>
          <w:p w14:paraId="326919E0" w14:textId="77777777" w:rsidR="00B33F4A" w:rsidRPr="00425312" w:rsidRDefault="00B33F4A">
            <w:pPr>
              <w:rPr>
                <w:b/>
              </w:rPr>
            </w:pPr>
          </w:p>
        </w:tc>
      </w:tr>
      <w:tr w:rsidR="00A359E1" w:rsidRPr="00425312" w14:paraId="1E272AEC" w14:textId="77777777" w:rsidTr="002537E4">
        <w:trPr>
          <w:cantSplit/>
          <w:trHeight w:val="300"/>
        </w:trPr>
        <w:tc>
          <w:tcPr>
            <w:tcW w:w="2943" w:type="dxa"/>
          </w:tcPr>
          <w:p w14:paraId="2565521C" w14:textId="77777777" w:rsidR="00A359E1" w:rsidRPr="00425312" w:rsidRDefault="00A359E1" w:rsidP="002537E4">
            <w:r w:rsidRPr="00425312">
              <w:t>Art. 3 – Explications relatives au niveau 3</w:t>
            </w:r>
          </w:p>
          <w:p w14:paraId="3B0BB5DE" w14:textId="77777777" w:rsidR="00A359E1" w:rsidRPr="00425312" w:rsidRDefault="00A359E1" w:rsidP="002537E4"/>
        </w:tc>
        <w:tc>
          <w:tcPr>
            <w:tcW w:w="5529" w:type="dxa"/>
          </w:tcPr>
          <w:p w14:paraId="4B4CDA3E" w14:textId="34E46E57" w:rsidR="00A359E1" w:rsidRPr="00425312" w:rsidRDefault="0045306E" w:rsidP="002537E4">
            <w:r w:rsidRPr="00425312">
              <w:t>Proposition</w:t>
            </w:r>
            <w:r w:rsidR="00A359E1" w:rsidRPr="00425312">
              <w:t xml:space="preserve"> de </w:t>
            </w:r>
            <w:proofErr w:type="gramStart"/>
            <w:r w:rsidR="00A359E1" w:rsidRPr="00425312">
              <w:t>modification:</w:t>
            </w:r>
            <w:proofErr w:type="gramEnd"/>
          </w:p>
          <w:p w14:paraId="5E5D5922" w14:textId="37AE943D" w:rsidR="00A359E1" w:rsidRPr="00425312" w:rsidRDefault="00A359E1" w:rsidP="002537E4">
            <w:pPr>
              <w:rPr>
                <w:i/>
                <w:iCs/>
              </w:rPr>
            </w:pPr>
            <w:r w:rsidRPr="00425312">
              <w:rPr>
                <w:i/>
              </w:rPr>
              <w:t>[…]</w:t>
            </w:r>
            <w:r w:rsidRPr="00425312">
              <w:t xml:space="preserve"> D</w:t>
            </w:r>
            <w:r w:rsidR="009A01A5" w:rsidRPr="00425312">
              <w:t>’</w:t>
            </w:r>
            <w:r w:rsidRPr="00425312">
              <w:t xml:space="preserve">autres mesures envisageables sont la suspension du réseau de nuit (uniquement en cas de restriction importante de la vie nocturne) </w:t>
            </w:r>
            <w:r w:rsidRPr="00425312">
              <w:rPr>
                <w:b/>
                <w:color w:val="FF0000"/>
              </w:rPr>
              <w:t xml:space="preserve">et le remplacement </w:t>
            </w:r>
            <w:r w:rsidRPr="00425312">
              <w:rPr>
                <w:b/>
                <w:bCs/>
                <w:strike/>
              </w:rPr>
              <w:t>la réduction de la durée d</w:t>
            </w:r>
            <w:r w:rsidR="009A01A5" w:rsidRPr="00425312">
              <w:rPr>
                <w:b/>
                <w:bCs/>
                <w:strike/>
              </w:rPr>
              <w:t>’</w:t>
            </w:r>
            <w:r w:rsidRPr="00425312">
              <w:rPr>
                <w:b/>
                <w:bCs/>
                <w:strike/>
              </w:rPr>
              <w:t>exploitation</w:t>
            </w:r>
            <w:r w:rsidRPr="00425312">
              <w:t xml:space="preserve"> des lignes de tramways et de trolleybus </w:t>
            </w:r>
            <w:r w:rsidR="0033231A" w:rsidRPr="0033231A">
              <w:rPr>
                <w:b/>
                <w:bCs/>
                <w:strike/>
              </w:rPr>
              <w:t>et le remplacement de ces moyens de transport</w:t>
            </w:r>
            <w:r w:rsidR="0033231A">
              <w:t xml:space="preserve"> </w:t>
            </w:r>
            <w:r w:rsidRPr="00425312">
              <w:t>par des bus diesel.</w:t>
            </w:r>
            <w:r w:rsidRPr="00425312">
              <w:rPr>
                <w:i/>
              </w:rPr>
              <w:t xml:space="preserve"> […]</w:t>
            </w:r>
          </w:p>
        </w:tc>
        <w:tc>
          <w:tcPr>
            <w:tcW w:w="5620" w:type="dxa"/>
          </w:tcPr>
          <w:p w14:paraId="3E315AAC" w14:textId="284CEB13" w:rsidR="00A359E1" w:rsidRPr="00425312" w:rsidRDefault="00A359E1" w:rsidP="002537E4">
            <w:r w:rsidRPr="00425312">
              <w:t>Adaptation du concept des TP sur route</w:t>
            </w:r>
            <w:r w:rsidRPr="00425312">
              <w:br/>
            </w:r>
            <w:r w:rsidRPr="00425312">
              <w:br/>
              <w:t>La réduction de la durée d</w:t>
            </w:r>
            <w:r w:rsidR="009A01A5" w:rsidRPr="00425312">
              <w:t>’</w:t>
            </w:r>
            <w:r w:rsidRPr="00425312">
              <w:t>exploitation est traitée séparément dans le rapport explicatif. Elle concerne l</w:t>
            </w:r>
            <w:r w:rsidR="009A01A5" w:rsidRPr="00425312">
              <w:t>’</w:t>
            </w:r>
            <w:r w:rsidRPr="00425312">
              <w:t>intégralité de l</w:t>
            </w:r>
            <w:r w:rsidR="009A01A5" w:rsidRPr="00425312">
              <w:t>’</w:t>
            </w:r>
            <w:r w:rsidRPr="00425312">
              <w:t>offre des TP sur route.</w:t>
            </w:r>
          </w:p>
        </w:tc>
        <w:tc>
          <w:tcPr>
            <w:tcW w:w="532" w:type="dxa"/>
            <w:tcBorders>
              <w:top w:val="nil"/>
              <w:bottom w:val="nil"/>
              <w:right w:val="nil"/>
            </w:tcBorders>
            <w:shd w:val="clear" w:color="auto" w:fill="auto"/>
          </w:tcPr>
          <w:p w14:paraId="067052DA" w14:textId="77777777" w:rsidR="00A359E1" w:rsidRPr="00425312" w:rsidRDefault="00A359E1" w:rsidP="002537E4">
            <w:pPr>
              <w:rPr>
                <w:b/>
                <w:bCs/>
              </w:rPr>
            </w:pPr>
          </w:p>
        </w:tc>
      </w:tr>
      <w:tr w:rsidR="00B33F4A" w:rsidRPr="00425312" w14:paraId="4A837DCC" w14:textId="77777777" w:rsidTr="71E96361">
        <w:trPr>
          <w:cantSplit/>
        </w:trPr>
        <w:tc>
          <w:tcPr>
            <w:tcW w:w="2943" w:type="dxa"/>
          </w:tcPr>
          <w:p w14:paraId="30048437" w14:textId="6E803B80" w:rsidR="00B33F4A" w:rsidRPr="00425312" w:rsidRDefault="004B1161">
            <w:r w:rsidRPr="00425312">
              <w:t>Art. 3 – Explications relatives au niveau 3</w:t>
            </w:r>
          </w:p>
        </w:tc>
        <w:tc>
          <w:tcPr>
            <w:tcW w:w="5529" w:type="dxa"/>
          </w:tcPr>
          <w:p w14:paraId="0FEAC90D" w14:textId="0715DB21" w:rsidR="00B33F4A" w:rsidRPr="00425312" w:rsidRDefault="0045306E">
            <w:r w:rsidRPr="00425312">
              <w:t>Proposition</w:t>
            </w:r>
            <w:r w:rsidR="0084330B" w:rsidRPr="00425312">
              <w:t xml:space="preserve"> de </w:t>
            </w:r>
            <w:proofErr w:type="gramStart"/>
            <w:r w:rsidR="0084330B" w:rsidRPr="00425312">
              <w:t>modification:</w:t>
            </w:r>
            <w:proofErr w:type="gramEnd"/>
          </w:p>
          <w:p w14:paraId="38510E71" w14:textId="6FF603CF" w:rsidR="00B33F4A" w:rsidRPr="00425312" w:rsidRDefault="0084330B">
            <w:pPr>
              <w:rPr>
                <w:i/>
              </w:rPr>
            </w:pPr>
            <w:r w:rsidRPr="00425312">
              <w:rPr>
                <w:i/>
              </w:rPr>
              <w:t xml:space="preserve">[…] Des plans sont prévus aussi bien pour le rail que pour </w:t>
            </w:r>
            <w:r w:rsidRPr="00425312">
              <w:rPr>
                <w:b/>
                <w:bCs/>
                <w:i/>
                <w:strike/>
              </w:rPr>
              <w:t>les services</w:t>
            </w:r>
            <w:r w:rsidR="00F4132B" w:rsidRPr="00425312">
              <w:rPr>
                <w:b/>
                <w:bCs/>
                <w:i/>
                <w:strike/>
              </w:rPr>
              <w:t xml:space="preserve"> </w:t>
            </w:r>
            <w:r w:rsidRPr="00425312">
              <w:rPr>
                <w:b/>
                <w:bCs/>
                <w:i/>
                <w:strike/>
              </w:rPr>
              <w:t>de bus régionaux (transport régional de voyageurs)</w:t>
            </w:r>
            <w:r w:rsidRPr="00425312">
              <w:rPr>
                <w:b/>
                <w:i/>
                <w:color w:val="FF0000"/>
              </w:rPr>
              <w:t xml:space="preserve"> les lignes de bus régionales </w:t>
            </w:r>
            <w:r w:rsidRPr="00425312">
              <w:rPr>
                <w:i/>
              </w:rPr>
              <w:t>ainsi que le transport urbain et local. […]</w:t>
            </w:r>
          </w:p>
        </w:tc>
        <w:tc>
          <w:tcPr>
            <w:tcW w:w="5620" w:type="dxa"/>
          </w:tcPr>
          <w:p w14:paraId="18A3E470" w14:textId="2F9C6291" w:rsidR="00B33F4A" w:rsidRPr="00425312" w:rsidRDefault="00FB3E96">
            <w:r w:rsidRPr="00425312">
              <w:t>Précision ou rectification terminologique.</w:t>
            </w:r>
          </w:p>
        </w:tc>
        <w:tc>
          <w:tcPr>
            <w:tcW w:w="532" w:type="dxa"/>
            <w:tcBorders>
              <w:top w:val="nil"/>
              <w:bottom w:val="nil"/>
              <w:right w:val="nil"/>
            </w:tcBorders>
            <w:shd w:val="clear" w:color="auto" w:fill="auto"/>
          </w:tcPr>
          <w:p w14:paraId="627F58EE" w14:textId="77777777" w:rsidR="00B33F4A" w:rsidRPr="00425312" w:rsidRDefault="00B33F4A">
            <w:pPr>
              <w:rPr>
                <w:b/>
              </w:rPr>
            </w:pPr>
          </w:p>
        </w:tc>
      </w:tr>
      <w:tr w:rsidR="00B33F4A" w:rsidRPr="00425312" w14:paraId="19B1CE6C" w14:textId="77777777" w:rsidTr="71E96361">
        <w:trPr>
          <w:cantSplit/>
        </w:trPr>
        <w:tc>
          <w:tcPr>
            <w:tcW w:w="2943" w:type="dxa"/>
          </w:tcPr>
          <w:p w14:paraId="317DE50F" w14:textId="1D2444B3" w:rsidR="00B33F4A" w:rsidRPr="00425312" w:rsidRDefault="00383428">
            <w:r w:rsidRPr="00425312">
              <w:lastRenderedPageBreak/>
              <w:t>Art. 4</w:t>
            </w:r>
          </w:p>
        </w:tc>
        <w:tc>
          <w:tcPr>
            <w:tcW w:w="5529" w:type="dxa"/>
          </w:tcPr>
          <w:p w14:paraId="368F7298" w14:textId="0A7FCC64" w:rsidR="00B33F4A" w:rsidRPr="00425312" w:rsidRDefault="00383428">
            <w:pPr>
              <w:rPr>
                <w:u w:val="single"/>
              </w:rPr>
            </w:pPr>
            <w:r w:rsidRPr="00425312">
              <w:rPr>
                <w:u w:val="single"/>
              </w:rPr>
              <w:t>Réduction du transport de marchandises</w:t>
            </w:r>
          </w:p>
          <w:p w14:paraId="6ED7A50E" w14:textId="258A5A2A" w:rsidR="00F00D83" w:rsidRPr="00425312" w:rsidRDefault="0045306E">
            <w:r w:rsidRPr="00425312">
              <w:t>Proposition</w:t>
            </w:r>
            <w:r w:rsidR="00A112B6" w:rsidRPr="00425312">
              <w:t xml:space="preserve"> de </w:t>
            </w:r>
            <w:proofErr w:type="gramStart"/>
            <w:r w:rsidR="00A112B6" w:rsidRPr="00425312">
              <w:t>complément:</w:t>
            </w:r>
            <w:proofErr w:type="gramEnd"/>
          </w:p>
          <w:p w14:paraId="45C94425" w14:textId="070CD91F" w:rsidR="00F00D83" w:rsidRPr="00425312" w:rsidRDefault="004B1219">
            <w:pPr>
              <w:rPr>
                <w:b/>
                <w:i/>
              </w:rPr>
            </w:pPr>
            <w:r w:rsidRPr="00425312">
              <w:rPr>
                <w:b/>
                <w:i/>
                <w:color w:val="FF0000"/>
              </w:rPr>
              <w:t>En cas de pénurie d</w:t>
            </w:r>
            <w:r w:rsidR="009A01A5" w:rsidRPr="00425312">
              <w:rPr>
                <w:b/>
                <w:i/>
                <w:color w:val="FF0000"/>
              </w:rPr>
              <w:t>’</w:t>
            </w:r>
            <w:r w:rsidRPr="00425312">
              <w:rPr>
                <w:b/>
                <w:i/>
                <w:color w:val="FF0000"/>
              </w:rPr>
              <w:t>électricité, le transport de marchandises par rail est prioritaire par rapport au transport de voyageurs.</w:t>
            </w:r>
          </w:p>
        </w:tc>
        <w:tc>
          <w:tcPr>
            <w:tcW w:w="5620" w:type="dxa"/>
          </w:tcPr>
          <w:p w14:paraId="5C212FC1" w14:textId="6F5DD5D6" w:rsidR="00B33F4A" w:rsidRPr="00425312" w:rsidRDefault="002A1960">
            <w:r w:rsidRPr="00425312">
              <w:t>En temps normal, le trafic voyageurs et le trafic marchandises sont juridiquement traités sur un pied d</w:t>
            </w:r>
            <w:r w:rsidR="009A01A5" w:rsidRPr="00425312">
              <w:t>’</w:t>
            </w:r>
            <w:r w:rsidRPr="00425312">
              <w:t>égalité en cas d</w:t>
            </w:r>
            <w:r w:rsidR="009A01A5" w:rsidRPr="00425312">
              <w:t>’</w:t>
            </w:r>
            <w:r w:rsidRPr="00425312">
              <w:t>événements ou de perturbations. Le modèle de gestion déroge à cette règle de manière ciblée et au sens de l</w:t>
            </w:r>
            <w:r w:rsidR="009A01A5" w:rsidRPr="00425312">
              <w:t>’</w:t>
            </w:r>
            <w:r w:rsidRPr="00425312">
              <w:t>approvisionnement du pays.</w:t>
            </w:r>
          </w:p>
          <w:p w14:paraId="55481529" w14:textId="707BFB8A" w:rsidR="00B33F4A" w:rsidRPr="00425312" w:rsidRDefault="4006D6E1">
            <w:r w:rsidRPr="00425312">
              <w:t>C</w:t>
            </w:r>
            <w:r w:rsidR="009A01A5" w:rsidRPr="00425312">
              <w:t>’</w:t>
            </w:r>
            <w:r w:rsidRPr="00425312">
              <w:t>est pourquoi cette ordonnance requiert une clarification juridique, selon laquelle, en cas de pénurie d</w:t>
            </w:r>
            <w:r w:rsidR="009A01A5" w:rsidRPr="00425312">
              <w:t>’</w:t>
            </w:r>
            <w:r w:rsidRPr="00425312">
              <w:t>électricité, le transport de marchandises par rail aura priorité sur le transport de voyageurs. Tel qu</w:t>
            </w:r>
            <w:r w:rsidR="009A01A5" w:rsidRPr="00425312">
              <w:t>’</w:t>
            </w:r>
            <w:r w:rsidRPr="00425312">
              <w:t>il est rédigé actuellement, ce principe fondamental du modèle de gestion ne découle pas automatiquement de l</w:t>
            </w:r>
            <w:r w:rsidR="009A01A5" w:rsidRPr="00425312">
              <w:t>’</w:t>
            </w:r>
            <w:r w:rsidRPr="00425312">
              <w:t>article 4 et peut aisément passer inaperçu.</w:t>
            </w:r>
          </w:p>
        </w:tc>
        <w:tc>
          <w:tcPr>
            <w:tcW w:w="532" w:type="dxa"/>
            <w:tcBorders>
              <w:top w:val="nil"/>
              <w:bottom w:val="nil"/>
              <w:right w:val="nil"/>
            </w:tcBorders>
            <w:shd w:val="clear" w:color="auto" w:fill="auto"/>
          </w:tcPr>
          <w:p w14:paraId="496097F1" w14:textId="77777777" w:rsidR="00B33F4A" w:rsidRPr="00425312" w:rsidRDefault="00B33F4A">
            <w:pPr>
              <w:rPr>
                <w:b/>
              </w:rPr>
            </w:pPr>
          </w:p>
        </w:tc>
      </w:tr>
      <w:tr w:rsidR="00334549" w:rsidRPr="00425312" w14:paraId="10A32D5E" w14:textId="77777777" w:rsidTr="776BC175">
        <w:trPr>
          <w:cantSplit/>
        </w:trPr>
        <w:tc>
          <w:tcPr>
            <w:tcW w:w="2943" w:type="dxa"/>
          </w:tcPr>
          <w:p w14:paraId="6CF6CB79" w14:textId="3B91F864" w:rsidR="00334549" w:rsidRPr="00425312" w:rsidRDefault="00334549">
            <w:r w:rsidRPr="00425312">
              <w:t>Art. 4 – Explications</w:t>
            </w:r>
          </w:p>
        </w:tc>
        <w:tc>
          <w:tcPr>
            <w:tcW w:w="5529" w:type="dxa"/>
          </w:tcPr>
          <w:p w14:paraId="4D4CE3A2" w14:textId="0AA74200" w:rsidR="00334549" w:rsidRPr="00425312" w:rsidRDefault="0045306E">
            <w:r w:rsidRPr="00425312">
              <w:t>Proposition</w:t>
            </w:r>
            <w:r w:rsidR="00334549" w:rsidRPr="00425312">
              <w:t xml:space="preserve"> de </w:t>
            </w:r>
            <w:proofErr w:type="gramStart"/>
            <w:r w:rsidR="00334549" w:rsidRPr="00425312">
              <w:t>modification:</w:t>
            </w:r>
            <w:proofErr w:type="gramEnd"/>
          </w:p>
          <w:p w14:paraId="52E8C50F" w14:textId="40518A75" w:rsidR="00334549" w:rsidRPr="00425312" w:rsidRDefault="00334549">
            <w:pPr>
              <w:rPr>
                <w:i/>
                <w:iCs/>
              </w:rPr>
            </w:pPr>
            <w:r w:rsidRPr="00425312">
              <w:rPr>
                <w:i/>
              </w:rPr>
              <w:t>L</w:t>
            </w:r>
            <w:r w:rsidR="004E3264">
              <w:rPr>
                <w:i/>
              </w:rPr>
              <w:t>’</w:t>
            </w:r>
            <w:r w:rsidRPr="00425312">
              <w:rPr>
                <w:i/>
              </w:rPr>
              <w:t xml:space="preserve">offre et la fonction du transport ferroviaire de marchandises doivent </w:t>
            </w:r>
            <w:r w:rsidR="00F4132B" w:rsidRPr="00425312">
              <w:rPr>
                <w:i/>
              </w:rPr>
              <w:t xml:space="preserve">donc </w:t>
            </w:r>
            <w:r w:rsidRPr="00425312">
              <w:rPr>
                <w:i/>
              </w:rPr>
              <w:t>être maintenues aussi longtemps que possible pour permettre</w:t>
            </w:r>
            <w:r w:rsidR="00F4132B" w:rsidRPr="00425312">
              <w:rPr>
                <w:i/>
              </w:rPr>
              <w:t xml:space="preserve"> </w:t>
            </w:r>
            <w:r w:rsidRPr="00425312">
              <w:rPr>
                <w:b/>
                <w:i/>
                <w:color w:val="FF0000"/>
              </w:rPr>
              <w:t>l</w:t>
            </w:r>
            <w:r w:rsidR="009A01A5" w:rsidRPr="00425312">
              <w:rPr>
                <w:b/>
                <w:i/>
                <w:color w:val="FF0000"/>
              </w:rPr>
              <w:t>’</w:t>
            </w:r>
            <w:r w:rsidRPr="00425312">
              <w:rPr>
                <w:b/>
                <w:i/>
                <w:color w:val="FF0000"/>
              </w:rPr>
              <w:t>approvisionnement de l</w:t>
            </w:r>
            <w:r w:rsidR="009A01A5" w:rsidRPr="00425312">
              <w:rPr>
                <w:b/>
                <w:i/>
                <w:color w:val="FF0000"/>
              </w:rPr>
              <w:t>’</w:t>
            </w:r>
            <w:r w:rsidRPr="00425312">
              <w:rPr>
                <w:b/>
                <w:i/>
                <w:color w:val="FF0000"/>
              </w:rPr>
              <w:t>économie suisse</w:t>
            </w:r>
            <w:r w:rsidRPr="00321B63">
              <w:rPr>
                <w:b/>
                <w:i/>
                <w:color w:val="FF0000"/>
              </w:rPr>
              <w:t>,</w:t>
            </w:r>
            <w:r w:rsidRPr="00425312">
              <w:rPr>
                <w:i/>
              </w:rPr>
              <w:t xml:space="preserve"> l</w:t>
            </w:r>
            <w:r w:rsidR="009A01A5" w:rsidRPr="00425312">
              <w:rPr>
                <w:i/>
              </w:rPr>
              <w:t>’</w:t>
            </w:r>
            <w:r w:rsidRPr="00425312">
              <w:rPr>
                <w:i/>
              </w:rPr>
              <w:t>approvisionnement du pays et le transit des marchandises.</w:t>
            </w:r>
          </w:p>
        </w:tc>
        <w:tc>
          <w:tcPr>
            <w:tcW w:w="5620" w:type="dxa"/>
          </w:tcPr>
          <w:p w14:paraId="46DCC410" w14:textId="0E816190" w:rsidR="00334549" w:rsidRPr="00425312" w:rsidRDefault="00334549">
            <w:r w:rsidRPr="00425312">
              <w:t>Pour compléter la notion d</w:t>
            </w:r>
            <w:proofErr w:type="gramStart"/>
            <w:r w:rsidR="009A01A5" w:rsidRPr="00425312">
              <w:t>’</w:t>
            </w:r>
            <w:r w:rsidRPr="00425312">
              <w:t>«approvisionnement</w:t>
            </w:r>
            <w:proofErr w:type="gramEnd"/>
            <w:r w:rsidRPr="00425312">
              <w:t xml:space="preserve"> du pays» mise en lien avec l</w:t>
            </w:r>
            <w:r w:rsidR="009A01A5" w:rsidRPr="00425312">
              <w:t>’</w:t>
            </w:r>
            <w:r w:rsidRPr="00425312">
              <w:t>approvisionnement en biens vitaux, il convient de citer également la fonction générale d</w:t>
            </w:r>
            <w:r w:rsidR="009A01A5" w:rsidRPr="00425312">
              <w:t>’</w:t>
            </w:r>
            <w:r w:rsidRPr="00425312">
              <w:t>approvisionnement que remplit le transport de marchandises, par analogie au trafic marchandises de transit.</w:t>
            </w:r>
          </w:p>
        </w:tc>
        <w:tc>
          <w:tcPr>
            <w:tcW w:w="532" w:type="dxa"/>
            <w:tcBorders>
              <w:top w:val="nil"/>
              <w:bottom w:val="nil"/>
              <w:right w:val="nil"/>
            </w:tcBorders>
            <w:shd w:val="clear" w:color="auto" w:fill="auto"/>
          </w:tcPr>
          <w:p w14:paraId="1E5A7E12" w14:textId="77777777" w:rsidR="00334549" w:rsidRPr="00425312" w:rsidRDefault="00334549">
            <w:pPr>
              <w:rPr>
                <w:b/>
              </w:rPr>
            </w:pPr>
          </w:p>
        </w:tc>
      </w:tr>
      <w:tr w:rsidR="00B33F4A" w:rsidRPr="00425312" w14:paraId="2449518B" w14:textId="77777777" w:rsidTr="71E96361">
        <w:trPr>
          <w:cantSplit/>
        </w:trPr>
        <w:tc>
          <w:tcPr>
            <w:tcW w:w="2943" w:type="dxa"/>
          </w:tcPr>
          <w:p w14:paraId="5548BEDA" w14:textId="1DA6D47C" w:rsidR="00B33F4A" w:rsidRPr="00425312" w:rsidRDefault="00E030C0">
            <w:r w:rsidRPr="00425312">
              <w:lastRenderedPageBreak/>
              <w:t>Art. 5, al. 3</w:t>
            </w:r>
          </w:p>
        </w:tc>
        <w:tc>
          <w:tcPr>
            <w:tcW w:w="5529" w:type="dxa"/>
          </w:tcPr>
          <w:p w14:paraId="7A7C19D7" w14:textId="77777777" w:rsidR="00B33F4A" w:rsidRPr="00425312" w:rsidRDefault="00E83142">
            <w:pPr>
              <w:rPr>
                <w:u w:val="single"/>
              </w:rPr>
            </w:pPr>
            <w:r w:rsidRPr="00425312">
              <w:rPr>
                <w:u w:val="single"/>
              </w:rPr>
              <w:t>Information et coordination</w:t>
            </w:r>
          </w:p>
          <w:p w14:paraId="65FBA8DD" w14:textId="6B071436" w:rsidR="00676815" w:rsidRPr="00425312" w:rsidRDefault="0045306E">
            <w:r w:rsidRPr="00425312">
              <w:t>Proposition</w:t>
            </w:r>
            <w:r w:rsidR="00676815" w:rsidRPr="00425312">
              <w:t xml:space="preserve"> de </w:t>
            </w:r>
            <w:proofErr w:type="gramStart"/>
            <w:r w:rsidR="00676815" w:rsidRPr="00425312">
              <w:t>modification:</w:t>
            </w:r>
            <w:proofErr w:type="gramEnd"/>
          </w:p>
          <w:p w14:paraId="62CEA52F" w14:textId="2D218A98" w:rsidR="00B33F4A" w:rsidRPr="00425312" w:rsidRDefault="003F2E83">
            <w:pPr>
              <w:rPr>
                <w:i/>
              </w:rPr>
            </w:pPr>
            <w:r w:rsidRPr="00425312">
              <w:rPr>
                <w:i/>
              </w:rPr>
              <w:t>La Confédération et les cantons</w:t>
            </w:r>
            <w:r w:rsidRPr="00425312">
              <w:rPr>
                <w:b/>
                <w:i/>
                <w:color w:val="FF0000"/>
              </w:rPr>
              <w:t xml:space="preserve"> contribuent, </w:t>
            </w:r>
            <w:r w:rsidRPr="00425312">
              <w:rPr>
                <w:b/>
                <w:i/>
                <w:strike/>
              </w:rPr>
              <w:t xml:space="preserve">informent </w:t>
            </w:r>
            <w:r w:rsidR="002438F1">
              <w:rPr>
                <w:b/>
                <w:i/>
                <w:strike/>
              </w:rPr>
              <w:t xml:space="preserve">le public </w:t>
            </w:r>
            <w:r w:rsidRPr="00425312">
              <w:rPr>
                <w:b/>
                <w:i/>
                <w:strike/>
              </w:rPr>
              <w:t>des mesures d</w:t>
            </w:r>
            <w:r w:rsidR="009A01A5" w:rsidRPr="00425312">
              <w:rPr>
                <w:b/>
                <w:i/>
                <w:strike/>
              </w:rPr>
              <w:t>’</w:t>
            </w:r>
            <w:r w:rsidRPr="00425312">
              <w:rPr>
                <w:b/>
                <w:i/>
                <w:strike/>
              </w:rPr>
              <w:t>accompagnement prises</w:t>
            </w:r>
            <w:r w:rsidRPr="00425312">
              <w:rPr>
                <w:i/>
              </w:rPr>
              <w:t xml:space="preserve"> dans leur domaine de compétence</w:t>
            </w:r>
            <w:r w:rsidR="00C742D2" w:rsidRPr="00425312">
              <w:rPr>
                <w:b/>
                <w:i/>
                <w:color w:val="FF0000"/>
              </w:rPr>
              <w:t>,</w:t>
            </w:r>
            <w:r w:rsidR="0020308E">
              <w:rPr>
                <w:i/>
              </w:rPr>
              <w:t xml:space="preserve"> </w:t>
            </w:r>
            <w:r w:rsidR="0020308E" w:rsidRPr="00C742D2">
              <w:rPr>
                <w:b/>
                <w:i/>
                <w:strike/>
              </w:rPr>
              <w:t>en vue de</w:t>
            </w:r>
            <w:r w:rsidRPr="00C742D2">
              <w:rPr>
                <w:b/>
                <w:i/>
                <w:strike/>
              </w:rPr>
              <w:t xml:space="preserve"> réduire le</w:t>
            </w:r>
            <w:r w:rsidR="00C742D2" w:rsidRPr="00C742D2">
              <w:rPr>
                <w:b/>
                <w:i/>
                <w:strike/>
              </w:rPr>
              <w:t xml:space="preserve"> </w:t>
            </w:r>
            <w:r w:rsidR="00C742D2" w:rsidRPr="00C742D2">
              <w:rPr>
                <w:b/>
                <w:i/>
                <w:color w:val="FF0000"/>
              </w:rPr>
              <w:t>à la réduction du</w:t>
            </w:r>
            <w:r w:rsidRPr="00425312">
              <w:rPr>
                <w:i/>
              </w:rPr>
              <w:t xml:space="preserve"> nombre de personnes à transporter </w:t>
            </w:r>
            <w:r w:rsidRPr="0020308E">
              <w:rPr>
                <w:b/>
                <w:i/>
                <w:color w:val="FF0000"/>
              </w:rPr>
              <w:t>au moyen de mesures d</w:t>
            </w:r>
            <w:r w:rsidR="009A01A5" w:rsidRPr="0020308E">
              <w:rPr>
                <w:b/>
                <w:i/>
                <w:color w:val="FF0000"/>
              </w:rPr>
              <w:t>’</w:t>
            </w:r>
            <w:r w:rsidRPr="0020308E">
              <w:rPr>
                <w:b/>
                <w:i/>
                <w:color w:val="FF0000"/>
              </w:rPr>
              <w:t xml:space="preserve">accompagnement </w:t>
            </w:r>
            <w:r w:rsidRPr="00425312">
              <w:rPr>
                <w:b/>
                <w:i/>
                <w:color w:val="FF0000"/>
              </w:rPr>
              <w:t>et en informent le public.</w:t>
            </w:r>
            <w:r w:rsidR="00A60936">
              <w:rPr>
                <w:b/>
                <w:i/>
                <w:color w:val="FF0000"/>
              </w:rPr>
              <w:t xml:space="preserve"> </w:t>
            </w:r>
            <w:r w:rsidRPr="00425312">
              <w:rPr>
                <w:b/>
                <w:i/>
                <w:color w:val="FF0000"/>
              </w:rPr>
              <w:t>Il s</w:t>
            </w:r>
            <w:r w:rsidR="009A01A5" w:rsidRPr="00425312">
              <w:rPr>
                <w:b/>
                <w:i/>
                <w:color w:val="FF0000"/>
              </w:rPr>
              <w:t>’</w:t>
            </w:r>
            <w:r w:rsidRPr="00425312">
              <w:rPr>
                <w:b/>
                <w:i/>
                <w:color w:val="FF0000"/>
              </w:rPr>
              <w:t>agit notamment de communiquer activement sur les pénuries de transport prévisibles et de modifier les horaires des enseignements dispensés par les écoles du degré secondaire</w:t>
            </w:r>
            <w:r w:rsidR="00CF595C">
              <w:rPr>
                <w:b/>
                <w:i/>
                <w:color w:val="FF0000"/>
              </w:rPr>
              <w:t> </w:t>
            </w:r>
            <w:r w:rsidRPr="00425312">
              <w:rPr>
                <w:b/>
                <w:i/>
                <w:color w:val="FF0000"/>
              </w:rPr>
              <w:t>II et du degré tertiaire.</w:t>
            </w:r>
          </w:p>
        </w:tc>
        <w:tc>
          <w:tcPr>
            <w:tcW w:w="5620" w:type="dxa"/>
          </w:tcPr>
          <w:p w14:paraId="2CA3DCCF" w14:textId="2ABDAF08" w:rsidR="00B33F4A" w:rsidRPr="00425312" w:rsidRDefault="0023227A">
            <w:r w:rsidRPr="00425312">
              <w:t>Voir les remarques générales d</w:t>
            </w:r>
            <w:r w:rsidR="009A01A5" w:rsidRPr="00425312">
              <w:t>’</w:t>
            </w:r>
            <w:r w:rsidRPr="00425312">
              <w:t>introduction.</w:t>
            </w:r>
          </w:p>
        </w:tc>
        <w:tc>
          <w:tcPr>
            <w:tcW w:w="532" w:type="dxa"/>
            <w:tcBorders>
              <w:top w:val="nil"/>
              <w:bottom w:val="nil"/>
              <w:right w:val="nil"/>
            </w:tcBorders>
            <w:shd w:val="clear" w:color="auto" w:fill="auto"/>
          </w:tcPr>
          <w:p w14:paraId="255AB7C9" w14:textId="77777777" w:rsidR="00B33F4A" w:rsidRPr="00425312" w:rsidRDefault="00B33F4A">
            <w:pPr>
              <w:rPr>
                <w:b/>
              </w:rPr>
            </w:pPr>
          </w:p>
        </w:tc>
      </w:tr>
      <w:tr w:rsidR="378E75A9" w:rsidRPr="00425312" w14:paraId="7ED66784" w14:textId="77777777" w:rsidTr="776BC175">
        <w:trPr>
          <w:cantSplit/>
          <w:trHeight w:val="300"/>
        </w:trPr>
        <w:tc>
          <w:tcPr>
            <w:tcW w:w="2943" w:type="dxa"/>
          </w:tcPr>
          <w:p w14:paraId="6DD411AD" w14:textId="2A536BEE" w:rsidR="378E75A9" w:rsidRPr="00425312" w:rsidRDefault="602A31F2" w:rsidP="378E75A9">
            <w:r w:rsidRPr="00425312">
              <w:t>Art. 5 – Explications relatives aux mesures d</w:t>
            </w:r>
            <w:r w:rsidR="009A01A5" w:rsidRPr="00425312">
              <w:t>’</w:t>
            </w:r>
            <w:r w:rsidRPr="00425312">
              <w:t>accompagnement</w:t>
            </w:r>
          </w:p>
          <w:p w14:paraId="599B155E" w14:textId="3F9B34A1" w:rsidR="378E75A9" w:rsidRPr="00425312" w:rsidRDefault="378E75A9" w:rsidP="378E75A9"/>
        </w:tc>
        <w:tc>
          <w:tcPr>
            <w:tcW w:w="5529" w:type="dxa"/>
          </w:tcPr>
          <w:p w14:paraId="10514E29" w14:textId="3E3F7F51" w:rsidR="3BF964AA" w:rsidRPr="00425312" w:rsidRDefault="0045306E">
            <w:r w:rsidRPr="00425312">
              <w:t>Proposition</w:t>
            </w:r>
            <w:r w:rsidR="3BF964AA" w:rsidRPr="00425312">
              <w:t xml:space="preserve"> de </w:t>
            </w:r>
            <w:proofErr w:type="gramStart"/>
            <w:r w:rsidR="3BF964AA" w:rsidRPr="00425312">
              <w:t>modification:</w:t>
            </w:r>
            <w:proofErr w:type="gramEnd"/>
          </w:p>
          <w:p w14:paraId="51D6A7B0" w14:textId="1F2BFF55" w:rsidR="378E75A9" w:rsidRPr="00425312" w:rsidRDefault="2623EF33" w:rsidP="3FA597C2">
            <w:pPr>
              <w:rPr>
                <w:rFonts w:eastAsia="Arial" w:cs="Arial"/>
                <w:i/>
              </w:rPr>
            </w:pPr>
            <w:r w:rsidRPr="00425312">
              <w:rPr>
                <w:i/>
              </w:rPr>
              <w:t xml:space="preserve">Il faut à cette fin </w:t>
            </w:r>
            <w:r w:rsidR="0098344E" w:rsidRPr="0098344E">
              <w:rPr>
                <w:b/>
                <w:bCs/>
                <w:i/>
                <w:strike/>
              </w:rPr>
              <w:t>adapter</w:t>
            </w:r>
            <w:r w:rsidR="0098344E">
              <w:rPr>
                <w:i/>
              </w:rPr>
              <w:t xml:space="preserve"> </w:t>
            </w:r>
            <w:r w:rsidRPr="0098344E">
              <w:rPr>
                <w:b/>
                <w:i/>
                <w:color w:val="FF0000"/>
              </w:rPr>
              <w:t xml:space="preserve">modifier </w:t>
            </w:r>
            <w:r w:rsidRPr="00425312">
              <w:rPr>
                <w:i/>
              </w:rPr>
              <w:t>les horaires des cours en fonction des adaptations</w:t>
            </w:r>
            <w:r w:rsidR="00065B84" w:rsidRPr="00425312">
              <w:rPr>
                <w:i/>
              </w:rPr>
              <w:t xml:space="preserve"> </w:t>
            </w:r>
            <w:r w:rsidRPr="00425312">
              <w:rPr>
                <w:i/>
              </w:rPr>
              <w:t>d</w:t>
            </w:r>
            <w:r w:rsidR="009A01A5" w:rsidRPr="00425312">
              <w:rPr>
                <w:i/>
              </w:rPr>
              <w:t>’</w:t>
            </w:r>
            <w:r w:rsidRPr="00425312">
              <w:rPr>
                <w:i/>
              </w:rPr>
              <w:t xml:space="preserve">horaires prévues pour les transports pour la période en question </w:t>
            </w:r>
            <w:r w:rsidRPr="0098344E">
              <w:rPr>
                <w:b/>
                <w:bCs/>
                <w:i/>
              </w:rPr>
              <w:t>(</w:t>
            </w:r>
            <w:r w:rsidRPr="0098344E">
              <w:rPr>
                <w:b/>
                <w:bCs/>
                <w:i/>
                <w:strike/>
              </w:rPr>
              <w:t>transport régional de voyageurs/transport loca</w:t>
            </w:r>
            <w:r w:rsidR="000327C0">
              <w:rPr>
                <w:b/>
                <w:bCs/>
                <w:i/>
                <w:strike/>
              </w:rPr>
              <w:t>l)</w:t>
            </w:r>
            <w:r w:rsidRPr="0098344E">
              <w:rPr>
                <w:b/>
                <w:bCs/>
                <w:i/>
              </w:rPr>
              <w:t xml:space="preserve"> </w:t>
            </w:r>
            <w:r w:rsidRPr="0098344E">
              <w:rPr>
                <w:b/>
                <w:bCs/>
                <w:i/>
                <w:color w:val="FF0000"/>
              </w:rPr>
              <w:t>(</w:t>
            </w:r>
            <w:r w:rsidRPr="00425312">
              <w:rPr>
                <w:b/>
                <w:i/>
                <w:color w:val="FF0000"/>
              </w:rPr>
              <w:t>lignes de bus régionales ainsi que transport urbain et local)</w:t>
            </w:r>
            <w:r w:rsidRPr="00425312">
              <w:rPr>
                <w:b/>
                <w:i/>
              </w:rPr>
              <w:t>.</w:t>
            </w:r>
          </w:p>
        </w:tc>
        <w:tc>
          <w:tcPr>
            <w:tcW w:w="5620" w:type="dxa"/>
          </w:tcPr>
          <w:p w14:paraId="5EBF5638" w14:textId="63CAF251" w:rsidR="378E75A9" w:rsidRPr="00425312" w:rsidRDefault="2CE3E4C9" w:rsidP="378E75A9">
            <w:r w:rsidRPr="00425312">
              <w:t>Précision ou rectification terminologique.</w:t>
            </w:r>
          </w:p>
          <w:p w14:paraId="2B0E084C" w14:textId="63CAF251" w:rsidR="378E75A9" w:rsidRPr="00425312" w:rsidRDefault="378E75A9" w:rsidP="3FA597C2"/>
        </w:tc>
        <w:tc>
          <w:tcPr>
            <w:tcW w:w="532" w:type="dxa"/>
            <w:tcBorders>
              <w:top w:val="nil"/>
              <w:bottom w:val="nil"/>
              <w:right w:val="nil"/>
            </w:tcBorders>
            <w:shd w:val="clear" w:color="auto" w:fill="auto"/>
          </w:tcPr>
          <w:p w14:paraId="1B8B6D3D" w14:textId="42A7D938" w:rsidR="378E75A9" w:rsidRPr="00425312" w:rsidRDefault="378E75A9" w:rsidP="378E75A9">
            <w:pPr>
              <w:rPr>
                <w:b/>
                <w:bCs/>
              </w:rPr>
            </w:pPr>
          </w:p>
        </w:tc>
      </w:tr>
      <w:tr w:rsidR="00334549" w:rsidRPr="00425312" w14:paraId="4A725F18" w14:textId="77777777" w:rsidTr="776BC175">
        <w:trPr>
          <w:cantSplit/>
          <w:trHeight w:val="300"/>
        </w:trPr>
        <w:tc>
          <w:tcPr>
            <w:tcW w:w="2943" w:type="dxa"/>
          </w:tcPr>
          <w:p w14:paraId="0C42D68F" w14:textId="662F9B9C" w:rsidR="00334549" w:rsidRPr="00425312" w:rsidRDefault="00334549" w:rsidP="378E75A9">
            <w:r w:rsidRPr="00425312">
              <w:lastRenderedPageBreak/>
              <w:t>Art. 6 – Explications</w:t>
            </w:r>
          </w:p>
        </w:tc>
        <w:tc>
          <w:tcPr>
            <w:tcW w:w="5529" w:type="dxa"/>
          </w:tcPr>
          <w:p w14:paraId="2B8E3301" w14:textId="6CB1353E" w:rsidR="00334549" w:rsidRPr="00425312" w:rsidRDefault="00B44042">
            <w:pPr>
              <w:rPr>
                <w:u w:val="single"/>
              </w:rPr>
            </w:pPr>
            <w:r w:rsidRPr="00425312">
              <w:rPr>
                <w:u w:val="single"/>
              </w:rPr>
              <w:t>Tâches des gestionnaires de l</w:t>
            </w:r>
            <w:r w:rsidR="009A01A5" w:rsidRPr="00425312">
              <w:rPr>
                <w:u w:val="single"/>
              </w:rPr>
              <w:t>’</w:t>
            </w:r>
            <w:r w:rsidRPr="00425312">
              <w:rPr>
                <w:u w:val="single"/>
              </w:rPr>
              <w:t>infrastructure et des entreprises de transport</w:t>
            </w:r>
          </w:p>
          <w:p w14:paraId="4FA76B07" w14:textId="2A25C493" w:rsidR="00B44042" w:rsidRPr="00425312" w:rsidRDefault="0045306E">
            <w:r w:rsidRPr="00425312">
              <w:t>Proposition</w:t>
            </w:r>
            <w:r w:rsidR="00B44042" w:rsidRPr="00425312">
              <w:t xml:space="preserve"> de </w:t>
            </w:r>
            <w:proofErr w:type="gramStart"/>
            <w:r w:rsidR="00B44042" w:rsidRPr="00425312">
              <w:t>modification:</w:t>
            </w:r>
            <w:proofErr w:type="gramEnd"/>
          </w:p>
          <w:p w14:paraId="7B2DD838" w14:textId="74CCD327" w:rsidR="00B44042" w:rsidRPr="00425312" w:rsidRDefault="00B44042">
            <w:pPr>
              <w:rPr>
                <w:i/>
              </w:rPr>
            </w:pPr>
            <w:r w:rsidRPr="00425312">
              <w:rPr>
                <w:i/>
              </w:rPr>
              <w:t>Afin d</w:t>
            </w:r>
            <w:r w:rsidR="009A01A5" w:rsidRPr="00425312">
              <w:rPr>
                <w:i/>
              </w:rPr>
              <w:t>’</w:t>
            </w:r>
            <w:r w:rsidRPr="00425312">
              <w:rPr>
                <w:i/>
              </w:rPr>
              <w:t>assurer que les entreprises de transports publics (</w:t>
            </w:r>
            <w:r w:rsidR="00BD7551" w:rsidRPr="00BD7551">
              <w:rPr>
                <w:b/>
                <w:bCs/>
                <w:i/>
                <w:strike/>
              </w:rPr>
              <w:t>par la route et par le rail</w:t>
            </w:r>
            <w:r w:rsidR="00BD7551">
              <w:rPr>
                <w:i/>
              </w:rPr>
              <w:t xml:space="preserve"> </w:t>
            </w:r>
            <w:r w:rsidRPr="00437DF1">
              <w:rPr>
                <w:b/>
                <w:i/>
                <w:color w:val="FF0000"/>
              </w:rPr>
              <w:t xml:space="preserve">par rail, par route, </w:t>
            </w:r>
            <w:r w:rsidRPr="00425312">
              <w:rPr>
                <w:b/>
                <w:i/>
                <w:color w:val="FF0000"/>
              </w:rPr>
              <w:t>par bateau et par installation à câbles</w:t>
            </w:r>
            <w:r w:rsidRPr="00425312">
              <w:rPr>
                <w:i/>
              </w:rPr>
              <w:t>) et les transporteurs ferroviaires de marchandises ne soient pas soumis au contingentement général des gros consommateurs, ces entreprises ou transporteurs doivent recenser les points de mesure 50</w:t>
            </w:r>
            <w:r w:rsidR="00065B84" w:rsidRPr="00425312">
              <w:rPr>
                <w:i/>
              </w:rPr>
              <w:t> </w:t>
            </w:r>
            <w:r w:rsidRPr="00425312">
              <w:rPr>
                <w:i/>
              </w:rPr>
              <w:t>Hz qui sont visés par le modèle de gestion et les notifier (déclaration). […] La mise en œuvre de cette disposition est assurée par les CFF en leur qualité de gestionnaire du système pour tous les gestionnaires de l</w:t>
            </w:r>
            <w:r w:rsidR="009A01A5" w:rsidRPr="00425312">
              <w:rPr>
                <w:i/>
              </w:rPr>
              <w:t>’</w:t>
            </w:r>
            <w:r w:rsidRPr="00425312">
              <w:rPr>
                <w:i/>
              </w:rPr>
              <w:t xml:space="preserve">infrastructure et les entreprises de transport </w:t>
            </w:r>
            <w:r w:rsidRPr="00425312">
              <w:rPr>
                <w:i/>
                <w:strike/>
              </w:rPr>
              <w:t>(</w:t>
            </w:r>
            <w:r w:rsidRPr="00425312">
              <w:rPr>
                <w:b/>
                <w:bCs/>
                <w:i/>
                <w:strike/>
              </w:rPr>
              <w:t>par le rail et par la route</w:t>
            </w:r>
            <w:r w:rsidRPr="00425312">
              <w:rPr>
                <w:i/>
                <w:strike/>
              </w:rPr>
              <w:t>)</w:t>
            </w:r>
            <w:r w:rsidRPr="00425312">
              <w:rPr>
                <w:i/>
              </w:rPr>
              <w:t xml:space="preserve"> concernés.</w:t>
            </w:r>
          </w:p>
        </w:tc>
        <w:tc>
          <w:tcPr>
            <w:tcW w:w="5620" w:type="dxa"/>
          </w:tcPr>
          <w:p w14:paraId="28CCDAB4" w14:textId="7EAADC44" w:rsidR="00334549" w:rsidRPr="00425312" w:rsidRDefault="00B44042" w:rsidP="378E75A9">
            <w:r w:rsidRPr="00425312">
              <w:t>À préciser en fonction du champ d</w:t>
            </w:r>
            <w:r w:rsidR="009A01A5" w:rsidRPr="00425312">
              <w:t>’</w:t>
            </w:r>
            <w:r w:rsidRPr="00425312">
              <w:t>application, éviter la redondance.</w:t>
            </w:r>
          </w:p>
        </w:tc>
        <w:tc>
          <w:tcPr>
            <w:tcW w:w="532" w:type="dxa"/>
            <w:tcBorders>
              <w:top w:val="nil"/>
              <w:bottom w:val="nil"/>
              <w:right w:val="nil"/>
            </w:tcBorders>
            <w:shd w:val="clear" w:color="auto" w:fill="auto"/>
          </w:tcPr>
          <w:p w14:paraId="55EEEFCD" w14:textId="77777777" w:rsidR="00334549" w:rsidRPr="00425312" w:rsidRDefault="00334549" w:rsidP="378E75A9">
            <w:pPr>
              <w:rPr>
                <w:b/>
                <w:bCs/>
              </w:rPr>
            </w:pPr>
          </w:p>
        </w:tc>
      </w:tr>
      <w:tr w:rsidR="00B33F4A" w:rsidRPr="00425312" w14:paraId="7B061FFD" w14:textId="77777777" w:rsidTr="71E96361">
        <w:trPr>
          <w:cantSplit/>
        </w:trPr>
        <w:tc>
          <w:tcPr>
            <w:tcW w:w="2943" w:type="dxa"/>
          </w:tcPr>
          <w:p w14:paraId="2BCA0BD4" w14:textId="2229BD41" w:rsidR="00B33F4A" w:rsidRPr="00425312" w:rsidRDefault="00D517B0">
            <w:r w:rsidRPr="00425312">
              <w:t>Art. 8</w:t>
            </w:r>
          </w:p>
        </w:tc>
        <w:tc>
          <w:tcPr>
            <w:tcW w:w="5529" w:type="dxa"/>
          </w:tcPr>
          <w:p w14:paraId="18EC7091" w14:textId="41A7317C" w:rsidR="00B33F4A" w:rsidRPr="00425312" w:rsidRDefault="00BD13BD">
            <w:pPr>
              <w:rPr>
                <w:u w:val="single"/>
              </w:rPr>
            </w:pPr>
            <w:r w:rsidRPr="00425312">
              <w:rPr>
                <w:u w:val="single"/>
              </w:rPr>
              <w:t>Exécution</w:t>
            </w:r>
          </w:p>
          <w:p w14:paraId="0F326795" w14:textId="5871A97B" w:rsidR="00BD3496" w:rsidRPr="00425312" w:rsidRDefault="0045306E">
            <w:r w:rsidRPr="00425312">
              <w:t>Proposition</w:t>
            </w:r>
            <w:r w:rsidR="00BD3496" w:rsidRPr="00425312">
              <w:t xml:space="preserve"> de complément, nouvel </w:t>
            </w:r>
            <w:proofErr w:type="gramStart"/>
            <w:r w:rsidR="00BD3496" w:rsidRPr="00425312">
              <w:t>alinéa:</w:t>
            </w:r>
            <w:proofErr w:type="gramEnd"/>
          </w:p>
          <w:p w14:paraId="01347EB0" w14:textId="0C3CAA5A" w:rsidR="00B33F4A" w:rsidRPr="00425312" w:rsidRDefault="00552F40">
            <w:pPr>
              <w:rPr>
                <w:b/>
                <w:i/>
              </w:rPr>
            </w:pPr>
            <w:r w:rsidRPr="00425312">
              <w:rPr>
                <w:b/>
                <w:i/>
                <w:color w:val="FF0000"/>
              </w:rPr>
              <w:t>L</w:t>
            </w:r>
            <w:r w:rsidR="009A01A5" w:rsidRPr="00425312">
              <w:rPr>
                <w:b/>
                <w:i/>
                <w:color w:val="FF0000"/>
              </w:rPr>
              <w:t>’</w:t>
            </w:r>
            <w:r w:rsidRPr="00425312">
              <w:rPr>
                <w:b/>
                <w:i/>
                <w:color w:val="FF0000"/>
              </w:rPr>
              <w:t>Office fédéral des transports (OFT) assure la coordination avec les organisations chargées de la gestion d</w:t>
            </w:r>
            <w:r w:rsidR="00992FD4">
              <w:rPr>
                <w:b/>
                <w:i/>
                <w:color w:val="FF0000"/>
              </w:rPr>
              <w:t>e</w:t>
            </w:r>
            <w:r w:rsidRPr="00425312">
              <w:rPr>
                <w:b/>
                <w:i/>
                <w:color w:val="FF0000"/>
              </w:rPr>
              <w:t xml:space="preserve"> système.</w:t>
            </w:r>
          </w:p>
        </w:tc>
        <w:tc>
          <w:tcPr>
            <w:tcW w:w="5620" w:type="dxa"/>
          </w:tcPr>
          <w:p w14:paraId="55ECE207" w14:textId="6EF60C8C" w:rsidR="00B33F4A" w:rsidRPr="00425312" w:rsidRDefault="004611ED">
            <w:r w:rsidRPr="00425312">
              <w:t>Il est également impératif de préciser les modalités d</w:t>
            </w:r>
            <w:r w:rsidR="009A01A5" w:rsidRPr="00425312">
              <w:t>’</w:t>
            </w:r>
            <w:r w:rsidRPr="00425312">
              <w:t xml:space="preserve">exécution en vigueur dans les </w:t>
            </w:r>
            <w:r w:rsidR="0006555B">
              <w:t xml:space="preserve">transports </w:t>
            </w:r>
            <w:proofErr w:type="gramStart"/>
            <w:r w:rsidR="0006555B">
              <w:t>publics</w:t>
            </w:r>
            <w:r w:rsidRPr="00425312">
              <w:t>;</w:t>
            </w:r>
            <w:proofErr w:type="gramEnd"/>
            <w:r w:rsidRPr="00425312">
              <w:t xml:space="preserve"> l</w:t>
            </w:r>
            <w:r w:rsidR="009A01A5" w:rsidRPr="00425312">
              <w:t>’</w:t>
            </w:r>
            <w:r w:rsidRPr="00425312">
              <w:t>OGE se réfère à la LAP; ce n</w:t>
            </w:r>
            <w:r w:rsidR="009A01A5" w:rsidRPr="00425312">
              <w:t>’</w:t>
            </w:r>
            <w:r w:rsidRPr="00425312">
              <w:t>est qu</w:t>
            </w:r>
            <w:r w:rsidR="009A01A5" w:rsidRPr="00425312">
              <w:t>’</w:t>
            </w:r>
            <w:r w:rsidRPr="00425312">
              <w:t>indirectement par le biais du champ d</w:t>
            </w:r>
            <w:r w:rsidR="009A01A5" w:rsidRPr="00425312">
              <w:t>’</w:t>
            </w:r>
            <w:r w:rsidRPr="00425312">
              <w:t>application qu</w:t>
            </w:r>
            <w:r w:rsidR="009A01A5" w:rsidRPr="00425312">
              <w:t>’</w:t>
            </w:r>
            <w:r w:rsidRPr="00425312">
              <w:t>il est fait référence à l</w:t>
            </w:r>
            <w:r w:rsidR="009A01A5" w:rsidRPr="00425312">
              <w:t>’</w:t>
            </w:r>
            <w:r w:rsidRPr="00425312">
              <w:t>ordonnance OCTE (future OCTSE) applicable à la coordination des transports dans l</w:t>
            </w:r>
            <w:r w:rsidR="009A01A5" w:rsidRPr="00425312">
              <w:t>’</w:t>
            </w:r>
            <w:r w:rsidRPr="00425312">
              <w:t>éventualité d</w:t>
            </w:r>
            <w:r w:rsidR="009A01A5" w:rsidRPr="00425312">
              <w:t>’</w:t>
            </w:r>
            <w:r w:rsidRPr="00425312">
              <w:t>événements.</w:t>
            </w:r>
          </w:p>
        </w:tc>
        <w:tc>
          <w:tcPr>
            <w:tcW w:w="532" w:type="dxa"/>
            <w:tcBorders>
              <w:top w:val="nil"/>
              <w:bottom w:val="nil"/>
              <w:right w:val="nil"/>
            </w:tcBorders>
            <w:shd w:val="clear" w:color="auto" w:fill="auto"/>
          </w:tcPr>
          <w:p w14:paraId="7BA81A4E" w14:textId="77777777" w:rsidR="00B33F4A" w:rsidRPr="00425312" w:rsidRDefault="00B33F4A">
            <w:pPr>
              <w:rPr>
                <w:b/>
              </w:rPr>
            </w:pPr>
          </w:p>
        </w:tc>
      </w:tr>
    </w:tbl>
    <w:p w14:paraId="0B76FC9F" w14:textId="77777777" w:rsidR="00B33F4A" w:rsidRPr="00425312" w:rsidRDefault="00B33F4A"/>
    <w:sectPr w:rsidR="00B33F4A" w:rsidRPr="00425312">
      <w:headerReference w:type="default" r:id="rId19"/>
      <w:footerReference w:type="default" r:id="rId20"/>
      <w:headerReference w:type="first" r:id="rId21"/>
      <w:footerReference w:type="first" r:id="rId22"/>
      <w:pgSz w:w="16838" w:h="11906" w:orient="landscape" w:code="9"/>
      <w:pgMar w:top="1134" w:right="1134" w:bottom="-851"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40B2" w14:textId="77777777" w:rsidR="00D94C58" w:rsidRDefault="00D94C58">
      <w:r>
        <w:separator/>
      </w:r>
    </w:p>
    <w:p w14:paraId="3271A23D" w14:textId="77777777" w:rsidR="00D94C58" w:rsidRDefault="00D94C58"/>
  </w:endnote>
  <w:endnote w:type="continuationSeparator" w:id="0">
    <w:p w14:paraId="12D57215" w14:textId="77777777" w:rsidR="00D94C58" w:rsidRDefault="00D94C58">
      <w:r>
        <w:continuationSeparator/>
      </w:r>
    </w:p>
    <w:p w14:paraId="218641FC" w14:textId="77777777" w:rsidR="00D94C58" w:rsidRDefault="00D94C58"/>
  </w:endnote>
  <w:endnote w:type="continuationNotice" w:id="1">
    <w:p w14:paraId="69CEF7B6" w14:textId="77777777" w:rsidR="00D94C58" w:rsidRDefault="00D94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544"/>
    </w:tblGrid>
    <w:tr w:rsidR="00B33F4A" w14:paraId="7BA4D13A" w14:textId="77777777">
      <w:trPr>
        <w:cantSplit/>
        <w:trHeight w:val="714"/>
      </w:trPr>
      <w:tc>
        <w:tcPr>
          <w:tcW w:w="14544" w:type="dxa"/>
          <w:vAlign w:val="bottom"/>
        </w:tcPr>
        <w:p w14:paraId="2A182734" w14:textId="77777777" w:rsidR="00B33F4A" w:rsidRDefault="00B67434">
          <w:pPr>
            <w:pStyle w:val="Seite"/>
            <w:rPr>
              <w:sz w:val="20"/>
              <w:szCs w:val="20"/>
            </w:rPr>
          </w:pPr>
          <w:r>
            <w:rPr>
              <w:sz w:val="20"/>
              <w:szCs w:val="20"/>
            </w:rPr>
            <w:fldChar w:fldCharType="begin"/>
          </w:r>
          <w:r>
            <w:rPr>
              <w:sz w:val="20"/>
              <w:szCs w:val="20"/>
            </w:rPr>
            <w:instrText xml:space="preserve"> PAGE  </w:instrText>
          </w:r>
          <w:r>
            <w:rPr>
              <w:sz w:val="20"/>
              <w:szCs w:val="20"/>
            </w:rPr>
            <w:fldChar w:fldCharType="separate"/>
          </w:r>
          <w:r w:rsidR="00E92E95">
            <w:rPr>
              <w:sz w:val="20"/>
              <w:szCs w:val="20"/>
            </w:rPr>
            <w:t>2</w:t>
          </w:r>
          <w:r>
            <w:rPr>
              <w:sz w:val="20"/>
              <w:szCs w:val="20"/>
            </w:rPr>
            <w:fldChar w:fldCharType="end"/>
          </w:r>
          <w:r>
            <w:t>/</w:t>
          </w:r>
          <w:r>
            <w:rPr>
              <w:sz w:val="20"/>
              <w:szCs w:val="20"/>
            </w:rPr>
            <w:fldChar w:fldCharType="begin"/>
          </w:r>
          <w:r>
            <w:rPr>
              <w:sz w:val="20"/>
              <w:szCs w:val="20"/>
            </w:rPr>
            <w:instrText xml:space="preserve"> NUMPAGES  </w:instrText>
          </w:r>
          <w:r>
            <w:rPr>
              <w:sz w:val="20"/>
              <w:szCs w:val="20"/>
            </w:rPr>
            <w:fldChar w:fldCharType="separate"/>
          </w:r>
          <w:r w:rsidR="00E92E95">
            <w:rPr>
              <w:sz w:val="20"/>
              <w:szCs w:val="20"/>
            </w:rPr>
            <w:t>27</w:t>
          </w:r>
          <w:r>
            <w:rPr>
              <w:sz w:val="20"/>
              <w:szCs w:val="20"/>
            </w:rPr>
            <w:fldChar w:fldCharType="end"/>
          </w:r>
        </w:p>
      </w:tc>
    </w:tr>
  </w:tbl>
  <w:p w14:paraId="7CFB8804" w14:textId="77777777" w:rsidR="00B33F4A" w:rsidRDefault="00B33F4A">
    <w:pPr>
      <w:pStyle w:val="Platzhalter"/>
      <w:rPr>
        <w:lang w:val="en-US"/>
      </w:rPr>
    </w:pPr>
  </w:p>
  <w:p w14:paraId="589DFBA9" w14:textId="77777777" w:rsidR="00B33F4A" w:rsidRDefault="00B33F4A">
    <w:pPr>
      <w:pStyle w:val="Platzhal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B33F4A" w14:paraId="2397DE7F" w14:textId="77777777">
      <w:trPr>
        <w:cantSplit/>
      </w:trPr>
      <w:tc>
        <w:tcPr>
          <w:tcW w:w="14544" w:type="dxa"/>
          <w:gridSpan w:val="2"/>
          <w:vAlign w:val="bottom"/>
        </w:tcPr>
        <w:p w14:paraId="42CBE834" w14:textId="77777777" w:rsidR="00B33F4A" w:rsidRDefault="00B33F4A">
          <w:pPr>
            <w:pStyle w:val="Seite"/>
            <w:rPr>
              <w:lang w:val="fr-FR"/>
            </w:rPr>
          </w:pPr>
        </w:p>
      </w:tc>
    </w:tr>
    <w:tr w:rsidR="00B33F4A" w14:paraId="6025E378" w14:textId="77777777">
      <w:trPr>
        <w:gridAfter w:val="1"/>
        <w:wAfter w:w="397" w:type="dxa"/>
        <w:cantSplit/>
        <w:trHeight w:hRule="exact" w:val="480"/>
      </w:trPr>
      <w:tc>
        <w:tcPr>
          <w:tcW w:w="14147" w:type="dxa"/>
          <w:vAlign w:val="bottom"/>
        </w:tcPr>
        <w:p w14:paraId="143F6C2E" w14:textId="77777777" w:rsidR="00B33F4A" w:rsidRDefault="00B33F4A">
          <w:pPr>
            <w:pStyle w:val="Pfad"/>
            <w:tabs>
              <w:tab w:val="left" w:pos="4320"/>
            </w:tabs>
            <w:ind w:left="4320"/>
          </w:pPr>
          <w:bookmarkStart w:id="3" w:name="_Hlk112468646"/>
        </w:p>
      </w:tc>
    </w:tr>
    <w:bookmarkEnd w:id="3"/>
  </w:tbl>
  <w:p w14:paraId="28946CBB" w14:textId="77777777" w:rsidR="00B33F4A" w:rsidRDefault="00B33F4A">
    <w:pPr>
      <w:pStyle w:val="Platzhalter"/>
      <w:rPr>
        <w:lang w:val="fr-FR"/>
      </w:rPr>
    </w:pPr>
  </w:p>
  <w:p w14:paraId="611BF841" w14:textId="77777777" w:rsidR="00B33F4A" w:rsidRDefault="00B33F4A">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8C4E" w14:textId="77777777" w:rsidR="00D94C58" w:rsidRDefault="00D94C58">
      <w:r>
        <w:separator/>
      </w:r>
    </w:p>
    <w:p w14:paraId="73B759CF" w14:textId="77777777" w:rsidR="00D94C58" w:rsidRDefault="00D94C58"/>
  </w:footnote>
  <w:footnote w:type="continuationSeparator" w:id="0">
    <w:p w14:paraId="2073BF53" w14:textId="77777777" w:rsidR="00D94C58" w:rsidRDefault="00D94C58">
      <w:r>
        <w:continuationSeparator/>
      </w:r>
    </w:p>
    <w:p w14:paraId="137F90E5" w14:textId="77777777" w:rsidR="00D94C58" w:rsidRDefault="00D94C58"/>
  </w:footnote>
  <w:footnote w:type="continuationNotice" w:id="1">
    <w:p w14:paraId="6627C94E" w14:textId="77777777" w:rsidR="00D94C58" w:rsidRDefault="00D94C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6" w:type="dxa"/>
      <w:tblInd w:w="-72" w:type="dxa"/>
      <w:tblLayout w:type="fixed"/>
      <w:tblCellMar>
        <w:left w:w="70" w:type="dxa"/>
        <w:right w:w="70" w:type="dxa"/>
      </w:tblCellMar>
      <w:tblLook w:val="01E0" w:firstRow="1" w:lastRow="1" w:firstColumn="1" w:lastColumn="1" w:noHBand="0" w:noVBand="0"/>
    </w:tblPr>
    <w:tblGrid>
      <w:gridCol w:w="14176"/>
    </w:tblGrid>
    <w:tr w:rsidR="00B33F4A" w14:paraId="0B154A46" w14:textId="77777777">
      <w:trPr>
        <w:cantSplit/>
      </w:trPr>
      <w:tc>
        <w:tcPr>
          <w:tcW w:w="14176" w:type="dxa"/>
        </w:tcPr>
        <w:p w14:paraId="436815B3" w14:textId="77777777" w:rsidR="00B33F4A" w:rsidRDefault="00B33F4A">
          <w:pPr>
            <w:pStyle w:val="Logo"/>
            <w:rPr>
              <w:sz w:val="18"/>
              <w:szCs w:val="18"/>
            </w:rPr>
          </w:pPr>
        </w:p>
      </w:tc>
    </w:tr>
  </w:tbl>
  <w:p w14:paraId="4ACF1587" w14:textId="77777777" w:rsidR="00B33F4A" w:rsidRDefault="00B33F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B33F4A" w14:paraId="2673DD8D" w14:textId="77777777">
      <w:trPr>
        <w:cantSplit/>
        <w:trHeight w:hRule="exact" w:val="575"/>
      </w:trPr>
      <w:tc>
        <w:tcPr>
          <w:tcW w:w="14742" w:type="dxa"/>
        </w:tcPr>
        <w:p w14:paraId="1F76AA66" w14:textId="77777777" w:rsidR="00B33F4A" w:rsidRDefault="00B33F4A">
          <w:pPr>
            <w:pStyle w:val="Kopfzeile"/>
            <w:jc w:val="right"/>
          </w:pPr>
        </w:p>
      </w:tc>
    </w:tr>
  </w:tbl>
  <w:p w14:paraId="4607438A" w14:textId="77777777" w:rsidR="00B33F4A" w:rsidRDefault="00B33F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A35"/>
    <w:multiLevelType w:val="hybridMultilevel"/>
    <w:tmpl w:val="72D4B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5"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6915FE7"/>
    <w:multiLevelType w:val="hybridMultilevel"/>
    <w:tmpl w:val="FA52A1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8" w15:restartNumberingAfterBreak="0">
    <w:nsid w:val="1F1F539E"/>
    <w:multiLevelType w:val="hybridMultilevel"/>
    <w:tmpl w:val="5F2EF286"/>
    <w:lvl w:ilvl="0" w:tplc="8A3A40AC">
      <w:start w:val="1"/>
      <w:numFmt w:val="decimal"/>
      <w:lvlText w:val="%1."/>
      <w:lvlJc w:val="left"/>
      <w:pPr>
        <w:ind w:left="720" w:hanging="360"/>
      </w:pPr>
    </w:lvl>
    <w:lvl w:ilvl="1" w:tplc="785AAE56">
      <w:start w:val="1"/>
      <w:numFmt w:val="lowerLetter"/>
      <w:lvlText w:val="%2."/>
      <w:lvlJc w:val="left"/>
      <w:pPr>
        <w:ind w:left="1440" w:hanging="360"/>
      </w:pPr>
    </w:lvl>
    <w:lvl w:ilvl="2" w:tplc="CCBA88D0">
      <w:start w:val="1"/>
      <w:numFmt w:val="lowerRoman"/>
      <w:lvlText w:val="%3."/>
      <w:lvlJc w:val="right"/>
      <w:pPr>
        <w:ind w:left="2160" w:hanging="180"/>
      </w:pPr>
    </w:lvl>
    <w:lvl w:ilvl="3" w:tplc="18946F2A">
      <w:start w:val="1"/>
      <w:numFmt w:val="decimal"/>
      <w:lvlText w:val="%4."/>
      <w:lvlJc w:val="left"/>
      <w:pPr>
        <w:ind w:left="2880" w:hanging="360"/>
      </w:pPr>
    </w:lvl>
    <w:lvl w:ilvl="4" w:tplc="279E55AE">
      <w:start w:val="1"/>
      <w:numFmt w:val="lowerLetter"/>
      <w:lvlText w:val="%5."/>
      <w:lvlJc w:val="left"/>
      <w:pPr>
        <w:ind w:left="3600" w:hanging="360"/>
      </w:pPr>
    </w:lvl>
    <w:lvl w:ilvl="5" w:tplc="4D2E500A">
      <w:start w:val="1"/>
      <w:numFmt w:val="lowerRoman"/>
      <w:lvlText w:val="%6."/>
      <w:lvlJc w:val="right"/>
      <w:pPr>
        <w:ind w:left="4320" w:hanging="180"/>
      </w:pPr>
    </w:lvl>
    <w:lvl w:ilvl="6" w:tplc="26D8ADC6">
      <w:start w:val="1"/>
      <w:numFmt w:val="decimal"/>
      <w:lvlText w:val="%7."/>
      <w:lvlJc w:val="left"/>
      <w:pPr>
        <w:ind w:left="5040" w:hanging="360"/>
      </w:pPr>
    </w:lvl>
    <w:lvl w:ilvl="7" w:tplc="3B7A03DC">
      <w:start w:val="1"/>
      <w:numFmt w:val="lowerLetter"/>
      <w:lvlText w:val="%8."/>
      <w:lvlJc w:val="left"/>
      <w:pPr>
        <w:ind w:left="5760" w:hanging="360"/>
      </w:pPr>
    </w:lvl>
    <w:lvl w:ilvl="8" w:tplc="766EEB90">
      <w:start w:val="1"/>
      <w:numFmt w:val="lowerRoman"/>
      <w:lvlText w:val="%9."/>
      <w:lvlJc w:val="right"/>
      <w:pPr>
        <w:ind w:left="6480" w:hanging="180"/>
      </w:pPr>
    </w:lvl>
  </w:abstractNum>
  <w:abstractNum w:abstractNumId="9"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10"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1" w15:restartNumberingAfterBreak="0">
    <w:nsid w:val="31E679A4"/>
    <w:multiLevelType w:val="hybridMultilevel"/>
    <w:tmpl w:val="AF9EEB46"/>
    <w:lvl w:ilvl="0" w:tplc="DDBAEBAC">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7434332"/>
    <w:multiLevelType w:val="multilevel"/>
    <w:tmpl w:val="231E85CE"/>
    <w:lvl w:ilvl="0">
      <w:start w:val="1"/>
      <w:numFmt w:val="decimal"/>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1A926E6"/>
    <w:multiLevelType w:val="hybridMultilevel"/>
    <w:tmpl w:val="FA52A12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6"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7"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8"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9"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20"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1"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abstractNum w:abstractNumId="22" w15:restartNumberingAfterBreak="0">
    <w:nsid w:val="79546C7E"/>
    <w:multiLevelType w:val="hybridMultilevel"/>
    <w:tmpl w:val="8E18CF24"/>
    <w:lvl w:ilvl="0" w:tplc="3D30EA52">
      <w:start w:val="1"/>
      <w:numFmt w:val="decimal"/>
      <w:lvlText w:val="%1."/>
      <w:lvlJc w:val="left"/>
      <w:pPr>
        <w:ind w:left="720" w:hanging="360"/>
      </w:pPr>
    </w:lvl>
    <w:lvl w:ilvl="1" w:tplc="DC1486B0">
      <w:start w:val="1"/>
      <w:numFmt w:val="lowerLetter"/>
      <w:lvlText w:val="%2."/>
      <w:lvlJc w:val="left"/>
      <w:pPr>
        <w:ind w:left="1440" w:hanging="360"/>
      </w:pPr>
    </w:lvl>
    <w:lvl w:ilvl="2" w:tplc="B2CE1A16">
      <w:start w:val="1"/>
      <w:numFmt w:val="lowerRoman"/>
      <w:lvlText w:val="%3."/>
      <w:lvlJc w:val="right"/>
      <w:pPr>
        <w:ind w:left="2160" w:hanging="180"/>
      </w:pPr>
    </w:lvl>
    <w:lvl w:ilvl="3" w:tplc="12D83A16">
      <w:start w:val="1"/>
      <w:numFmt w:val="decimal"/>
      <w:lvlText w:val="%4."/>
      <w:lvlJc w:val="left"/>
      <w:pPr>
        <w:ind w:left="2880" w:hanging="360"/>
      </w:pPr>
    </w:lvl>
    <w:lvl w:ilvl="4" w:tplc="F228B1A4">
      <w:start w:val="1"/>
      <w:numFmt w:val="lowerLetter"/>
      <w:lvlText w:val="%5."/>
      <w:lvlJc w:val="left"/>
      <w:pPr>
        <w:ind w:left="3600" w:hanging="360"/>
      </w:pPr>
    </w:lvl>
    <w:lvl w:ilvl="5" w:tplc="55C03DF4">
      <w:start w:val="1"/>
      <w:numFmt w:val="lowerRoman"/>
      <w:lvlText w:val="%6."/>
      <w:lvlJc w:val="right"/>
      <w:pPr>
        <w:ind w:left="4320" w:hanging="180"/>
      </w:pPr>
    </w:lvl>
    <w:lvl w:ilvl="6" w:tplc="13AAE62C">
      <w:start w:val="1"/>
      <w:numFmt w:val="decimal"/>
      <w:lvlText w:val="%7."/>
      <w:lvlJc w:val="left"/>
      <w:pPr>
        <w:ind w:left="5040" w:hanging="360"/>
      </w:pPr>
    </w:lvl>
    <w:lvl w:ilvl="7" w:tplc="CB7CE478">
      <w:start w:val="1"/>
      <w:numFmt w:val="lowerLetter"/>
      <w:lvlText w:val="%8."/>
      <w:lvlJc w:val="left"/>
      <w:pPr>
        <w:ind w:left="5760" w:hanging="360"/>
      </w:pPr>
    </w:lvl>
    <w:lvl w:ilvl="8" w:tplc="5B2AB384">
      <w:start w:val="1"/>
      <w:numFmt w:val="lowerRoman"/>
      <w:lvlText w:val="%9."/>
      <w:lvlJc w:val="right"/>
      <w:pPr>
        <w:ind w:left="6480" w:hanging="180"/>
      </w:pPr>
    </w:lvl>
  </w:abstractNum>
  <w:num w:numId="1" w16cid:durableId="623999289">
    <w:abstractNumId w:val="16"/>
  </w:num>
  <w:num w:numId="2" w16cid:durableId="1966546426">
    <w:abstractNumId w:val="13"/>
  </w:num>
  <w:num w:numId="3" w16cid:durableId="315761818">
    <w:abstractNumId w:val="20"/>
  </w:num>
  <w:num w:numId="4" w16cid:durableId="1067725073">
    <w:abstractNumId w:val="21"/>
  </w:num>
  <w:num w:numId="5" w16cid:durableId="1575121055">
    <w:abstractNumId w:val="18"/>
  </w:num>
  <w:num w:numId="6" w16cid:durableId="679816247">
    <w:abstractNumId w:val="4"/>
  </w:num>
  <w:num w:numId="7" w16cid:durableId="1862236925">
    <w:abstractNumId w:val="9"/>
  </w:num>
  <w:num w:numId="8" w16cid:durableId="1364092904">
    <w:abstractNumId w:val="3"/>
  </w:num>
  <w:num w:numId="9" w16cid:durableId="80680853">
    <w:abstractNumId w:val="15"/>
  </w:num>
  <w:num w:numId="10" w16cid:durableId="2079816994">
    <w:abstractNumId w:val="7"/>
  </w:num>
  <w:num w:numId="11" w16cid:durableId="1201818859">
    <w:abstractNumId w:val="1"/>
  </w:num>
  <w:num w:numId="12" w16cid:durableId="617176548">
    <w:abstractNumId w:val="5"/>
  </w:num>
  <w:num w:numId="13" w16cid:durableId="1731077294">
    <w:abstractNumId w:val="12"/>
  </w:num>
  <w:num w:numId="14" w16cid:durableId="542669823">
    <w:abstractNumId w:val="2"/>
  </w:num>
  <w:num w:numId="15" w16cid:durableId="904023867">
    <w:abstractNumId w:val="17"/>
  </w:num>
  <w:num w:numId="16" w16cid:durableId="121963059">
    <w:abstractNumId w:val="10"/>
  </w:num>
  <w:num w:numId="17" w16cid:durableId="1563637775">
    <w:abstractNumId w:val="19"/>
  </w:num>
  <w:num w:numId="18" w16cid:durableId="43139693">
    <w:abstractNumId w:val="12"/>
  </w:num>
  <w:num w:numId="19" w16cid:durableId="2057700046">
    <w:abstractNumId w:val="12"/>
  </w:num>
  <w:num w:numId="20" w16cid:durableId="1609391333">
    <w:abstractNumId w:val="12"/>
  </w:num>
  <w:num w:numId="21" w16cid:durableId="1188718398">
    <w:abstractNumId w:val="2"/>
  </w:num>
  <w:num w:numId="22" w16cid:durableId="1338458072">
    <w:abstractNumId w:val="17"/>
  </w:num>
  <w:num w:numId="23" w16cid:durableId="533225848">
    <w:abstractNumId w:val="10"/>
  </w:num>
  <w:num w:numId="24" w16cid:durableId="686175214">
    <w:abstractNumId w:val="19"/>
  </w:num>
  <w:num w:numId="25" w16cid:durableId="1569680964">
    <w:abstractNumId w:val="0"/>
  </w:num>
  <w:num w:numId="26" w16cid:durableId="1073432676">
    <w:abstractNumId w:val="11"/>
  </w:num>
  <w:num w:numId="27" w16cid:durableId="1973248773">
    <w:abstractNumId w:val="14"/>
  </w:num>
  <w:num w:numId="28" w16cid:durableId="1868714569">
    <w:abstractNumId w:val="6"/>
  </w:num>
  <w:num w:numId="29" w16cid:durableId="770708168">
    <w:abstractNumId w:val="22"/>
  </w:num>
  <w:num w:numId="30" w16cid:durableId="20240904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en-US" w:vendorID="64" w:dllVersion="6" w:nlCheck="1" w:checkStyle="1"/>
  <w:activeWritingStyle w:appName="MSWord" w:lang="it-CH"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CH" w:vendorID="64" w:dllVersion="0" w:nlCheck="1" w:checkStyle="0"/>
  <w:activeWritingStyle w:appName="MSWord" w:lang="fr-CH" w:vendorID="64" w:dllVersion="0" w:nlCheck="1" w:checkStyle="0"/>
  <w:activeWritingStyle w:appName="MSWord" w:lang="it-CH" w:vendorID="64" w:dllVersion="0" w:nlCheck="1" w:checkStyle="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B33F4A"/>
    <w:rsid w:val="00002C01"/>
    <w:rsid w:val="000035AD"/>
    <w:rsid w:val="0000770C"/>
    <w:rsid w:val="00014988"/>
    <w:rsid w:val="00014AE2"/>
    <w:rsid w:val="00017100"/>
    <w:rsid w:val="00020015"/>
    <w:rsid w:val="00025558"/>
    <w:rsid w:val="000327C0"/>
    <w:rsid w:val="00033045"/>
    <w:rsid w:val="00036520"/>
    <w:rsid w:val="00037D20"/>
    <w:rsid w:val="000453AD"/>
    <w:rsid w:val="000457B6"/>
    <w:rsid w:val="00045EB1"/>
    <w:rsid w:val="00052B83"/>
    <w:rsid w:val="00055992"/>
    <w:rsid w:val="00056E5A"/>
    <w:rsid w:val="00061529"/>
    <w:rsid w:val="00062293"/>
    <w:rsid w:val="0006555B"/>
    <w:rsid w:val="00065B84"/>
    <w:rsid w:val="00066A94"/>
    <w:rsid w:val="00071787"/>
    <w:rsid w:val="00082110"/>
    <w:rsid w:val="00086A46"/>
    <w:rsid w:val="0009093C"/>
    <w:rsid w:val="00090C49"/>
    <w:rsid w:val="000946C3"/>
    <w:rsid w:val="000974B3"/>
    <w:rsid w:val="000A282D"/>
    <w:rsid w:val="000C22F9"/>
    <w:rsid w:val="000C63B4"/>
    <w:rsid w:val="000C6571"/>
    <w:rsid w:val="000C721D"/>
    <w:rsid w:val="000C78F3"/>
    <w:rsid w:val="000D6C83"/>
    <w:rsid w:val="000E7819"/>
    <w:rsid w:val="00103F06"/>
    <w:rsid w:val="00104256"/>
    <w:rsid w:val="00115224"/>
    <w:rsid w:val="00125909"/>
    <w:rsid w:val="0012664D"/>
    <w:rsid w:val="00130DDA"/>
    <w:rsid w:val="001343AC"/>
    <w:rsid w:val="001402EA"/>
    <w:rsid w:val="001419BD"/>
    <w:rsid w:val="00141E11"/>
    <w:rsid w:val="001455BF"/>
    <w:rsid w:val="00146E35"/>
    <w:rsid w:val="00152FF4"/>
    <w:rsid w:val="0016018F"/>
    <w:rsid w:val="001652E1"/>
    <w:rsid w:val="001753B9"/>
    <w:rsid w:val="00175D33"/>
    <w:rsid w:val="0017687E"/>
    <w:rsid w:val="001775D4"/>
    <w:rsid w:val="001801DA"/>
    <w:rsid w:val="001809DF"/>
    <w:rsid w:val="00184629"/>
    <w:rsid w:val="00184C32"/>
    <w:rsid w:val="00185C09"/>
    <w:rsid w:val="001942FA"/>
    <w:rsid w:val="001951E1"/>
    <w:rsid w:val="001A109A"/>
    <w:rsid w:val="001A2531"/>
    <w:rsid w:val="001A36FD"/>
    <w:rsid w:val="001B78AD"/>
    <w:rsid w:val="001C3929"/>
    <w:rsid w:val="001C6B20"/>
    <w:rsid w:val="001D092B"/>
    <w:rsid w:val="001E2773"/>
    <w:rsid w:val="001E71C0"/>
    <w:rsid w:val="00202D0D"/>
    <w:rsid w:val="0020308E"/>
    <w:rsid w:val="00204206"/>
    <w:rsid w:val="002060CE"/>
    <w:rsid w:val="002064BD"/>
    <w:rsid w:val="00210EA6"/>
    <w:rsid w:val="002114E6"/>
    <w:rsid w:val="00212C30"/>
    <w:rsid w:val="00220750"/>
    <w:rsid w:val="0023227A"/>
    <w:rsid w:val="00232D33"/>
    <w:rsid w:val="00233CF8"/>
    <w:rsid w:val="00236F70"/>
    <w:rsid w:val="002438F1"/>
    <w:rsid w:val="00252FF5"/>
    <w:rsid w:val="002537E4"/>
    <w:rsid w:val="00255288"/>
    <w:rsid w:val="002554D0"/>
    <w:rsid w:val="0025562D"/>
    <w:rsid w:val="00263EDC"/>
    <w:rsid w:val="00281BD1"/>
    <w:rsid w:val="00287774"/>
    <w:rsid w:val="00290A03"/>
    <w:rsid w:val="00292FE2"/>
    <w:rsid w:val="002975B6"/>
    <w:rsid w:val="002A1960"/>
    <w:rsid w:val="002A271C"/>
    <w:rsid w:val="002A47A7"/>
    <w:rsid w:val="002B4FA4"/>
    <w:rsid w:val="002C071B"/>
    <w:rsid w:val="002C462F"/>
    <w:rsid w:val="002D15EF"/>
    <w:rsid w:val="002E0724"/>
    <w:rsid w:val="002F1E52"/>
    <w:rsid w:val="002F34A2"/>
    <w:rsid w:val="00305D0B"/>
    <w:rsid w:val="003060FD"/>
    <w:rsid w:val="0030788C"/>
    <w:rsid w:val="00310F65"/>
    <w:rsid w:val="00315320"/>
    <w:rsid w:val="00321B63"/>
    <w:rsid w:val="00327921"/>
    <w:rsid w:val="0033231A"/>
    <w:rsid w:val="00334549"/>
    <w:rsid w:val="00335714"/>
    <w:rsid w:val="00341C17"/>
    <w:rsid w:val="00363648"/>
    <w:rsid w:val="0037337D"/>
    <w:rsid w:val="003743A7"/>
    <w:rsid w:val="003753C8"/>
    <w:rsid w:val="0038144B"/>
    <w:rsid w:val="00383428"/>
    <w:rsid w:val="003840DF"/>
    <w:rsid w:val="00384AB0"/>
    <w:rsid w:val="003B0F6D"/>
    <w:rsid w:val="003C6410"/>
    <w:rsid w:val="003E014A"/>
    <w:rsid w:val="003E3FCD"/>
    <w:rsid w:val="003F2E83"/>
    <w:rsid w:val="003F59B3"/>
    <w:rsid w:val="00400862"/>
    <w:rsid w:val="00410838"/>
    <w:rsid w:val="00415EAD"/>
    <w:rsid w:val="00416B14"/>
    <w:rsid w:val="00422E98"/>
    <w:rsid w:val="00425312"/>
    <w:rsid w:val="004261DA"/>
    <w:rsid w:val="00431735"/>
    <w:rsid w:val="00435A12"/>
    <w:rsid w:val="00437DF1"/>
    <w:rsid w:val="00444FAD"/>
    <w:rsid w:val="00446E36"/>
    <w:rsid w:val="004504CE"/>
    <w:rsid w:val="00452102"/>
    <w:rsid w:val="0045306E"/>
    <w:rsid w:val="004611ED"/>
    <w:rsid w:val="004646BD"/>
    <w:rsid w:val="0046504B"/>
    <w:rsid w:val="004666B9"/>
    <w:rsid w:val="004700C2"/>
    <w:rsid w:val="004723D3"/>
    <w:rsid w:val="00475C45"/>
    <w:rsid w:val="00477A58"/>
    <w:rsid w:val="00481421"/>
    <w:rsid w:val="00484957"/>
    <w:rsid w:val="0048671C"/>
    <w:rsid w:val="00487F48"/>
    <w:rsid w:val="00494437"/>
    <w:rsid w:val="004A081C"/>
    <w:rsid w:val="004A2DFE"/>
    <w:rsid w:val="004A62E4"/>
    <w:rsid w:val="004B1161"/>
    <w:rsid w:val="004B1219"/>
    <w:rsid w:val="004B1250"/>
    <w:rsid w:val="004B7B97"/>
    <w:rsid w:val="004B7F4F"/>
    <w:rsid w:val="004C1D0A"/>
    <w:rsid w:val="004C43AC"/>
    <w:rsid w:val="004C6426"/>
    <w:rsid w:val="004C7917"/>
    <w:rsid w:val="004E3264"/>
    <w:rsid w:val="004E4CAE"/>
    <w:rsid w:val="004F12FF"/>
    <w:rsid w:val="005136E5"/>
    <w:rsid w:val="00522AB9"/>
    <w:rsid w:val="00524E5E"/>
    <w:rsid w:val="00525214"/>
    <w:rsid w:val="0052738B"/>
    <w:rsid w:val="005276A2"/>
    <w:rsid w:val="00530320"/>
    <w:rsid w:val="0053065C"/>
    <w:rsid w:val="00540163"/>
    <w:rsid w:val="00540B47"/>
    <w:rsid w:val="00541E4B"/>
    <w:rsid w:val="005440D0"/>
    <w:rsid w:val="00544CBE"/>
    <w:rsid w:val="005452AA"/>
    <w:rsid w:val="00552B79"/>
    <w:rsid w:val="00552F40"/>
    <w:rsid w:val="00553FC8"/>
    <w:rsid w:val="00560C45"/>
    <w:rsid w:val="00565635"/>
    <w:rsid w:val="00576415"/>
    <w:rsid w:val="00581E2A"/>
    <w:rsid w:val="00583D3E"/>
    <w:rsid w:val="0058599F"/>
    <w:rsid w:val="0059323D"/>
    <w:rsid w:val="00595F0D"/>
    <w:rsid w:val="005974C4"/>
    <w:rsid w:val="00597579"/>
    <w:rsid w:val="005A1E6B"/>
    <w:rsid w:val="005A482C"/>
    <w:rsid w:val="005A6ED5"/>
    <w:rsid w:val="005B2D0F"/>
    <w:rsid w:val="005B5BC3"/>
    <w:rsid w:val="005B6CC5"/>
    <w:rsid w:val="005C7D52"/>
    <w:rsid w:val="005E275F"/>
    <w:rsid w:val="005E3E03"/>
    <w:rsid w:val="005F3AB3"/>
    <w:rsid w:val="005F5550"/>
    <w:rsid w:val="005F67FA"/>
    <w:rsid w:val="00617069"/>
    <w:rsid w:val="00621993"/>
    <w:rsid w:val="0062341F"/>
    <w:rsid w:val="006238D5"/>
    <w:rsid w:val="0063059C"/>
    <w:rsid w:val="00633680"/>
    <w:rsid w:val="00635D6B"/>
    <w:rsid w:val="00644EAF"/>
    <w:rsid w:val="00646DE3"/>
    <w:rsid w:val="00672495"/>
    <w:rsid w:val="00673077"/>
    <w:rsid w:val="00673D1C"/>
    <w:rsid w:val="00676815"/>
    <w:rsid w:val="00681BA6"/>
    <w:rsid w:val="00682F72"/>
    <w:rsid w:val="00686D2E"/>
    <w:rsid w:val="006946A0"/>
    <w:rsid w:val="00695908"/>
    <w:rsid w:val="006A05A8"/>
    <w:rsid w:val="006A0FEB"/>
    <w:rsid w:val="006A13AD"/>
    <w:rsid w:val="006A1999"/>
    <w:rsid w:val="006A1D91"/>
    <w:rsid w:val="006A21E7"/>
    <w:rsid w:val="006B249A"/>
    <w:rsid w:val="006B2FFE"/>
    <w:rsid w:val="006C0467"/>
    <w:rsid w:val="006C4234"/>
    <w:rsid w:val="006D02D7"/>
    <w:rsid w:val="006D4EF9"/>
    <w:rsid w:val="006E28E6"/>
    <w:rsid w:val="006E5CE8"/>
    <w:rsid w:val="00701971"/>
    <w:rsid w:val="00707454"/>
    <w:rsid w:val="00715F84"/>
    <w:rsid w:val="0071753C"/>
    <w:rsid w:val="00717A85"/>
    <w:rsid w:val="0073505A"/>
    <w:rsid w:val="00737C0E"/>
    <w:rsid w:val="0075052E"/>
    <w:rsid w:val="00753008"/>
    <w:rsid w:val="007537C3"/>
    <w:rsid w:val="00753C77"/>
    <w:rsid w:val="00754B40"/>
    <w:rsid w:val="0075611C"/>
    <w:rsid w:val="00760E83"/>
    <w:rsid w:val="00762B50"/>
    <w:rsid w:val="00764445"/>
    <w:rsid w:val="007704D6"/>
    <w:rsid w:val="00790F58"/>
    <w:rsid w:val="007944E0"/>
    <w:rsid w:val="007A282A"/>
    <w:rsid w:val="007A45EE"/>
    <w:rsid w:val="007A511E"/>
    <w:rsid w:val="007A7ED4"/>
    <w:rsid w:val="007D6A6B"/>
    <w:rsid w:val="007E0A71"/>
    <w:rsid w:val="007E5ADD"/>
    <w:rsid w:val="007F033D"/>
    <w:rsid w:val="007F4314"/>
    <w:rsid w:val="00800446"/>
    <w:rsid w:val="0080466E"/>
    <w:rsid w:val="008047BB"/>
    <w:rsid w:val="008048A5"/>
    <w:rsid w:val="0081142C"/>
    <w:rsid w:val="00814860"/>
    <w:rsid w:val="00823A90"/>
    <w:rsid w:val="00823BB2"/>
    <w:rsid w:val="00826138"/>
    <w:rsid w:val="00827C21"/>
    <w:rsid w:val="0083054B"/>
    <w:rsid w:val="00834465"/>
    <w:rsid w:val="00837D91"/>
    <w:rsid w:val="0084195E"/>
    <w:rsid w:val="0084330B"/>
    <w:rsid w:val="00843D13"/>
    <w:rsid w:val="0085089A"/>
    <w:rsid w:val="00850C1C"/>
    <w:rsid w:val="0085515A"/>
    <w:rsid w:val="00856BBD"/>
    <w:rsid w:val="00857D33"/>
    <w:rsid w:val="00860779"/>
    <w:rsid w:val="0087193E"/>
    <w:rsid w:val="00871FC2"/>
    <w:rsid w:val="00882323"/>
    <w:rsid w:val="0088399A"/>
    <w:rsid w:val="008941AC"/>
    <w:rsid w:val="00895FF0"/>
    <w:rsid w:val="008966EA"/>
    <w:rsid w:val="008A037D"/>
    <w:rsid w:val="008A79EE"/>
    <w:rsid w:val="008B2334"/>
    <w:rsid w:val="008B5D61"/>
    <w:rsid w:val="008E3ABC"/>
    <w:rsid w:val="008F42A5"/>
    <w:rsid w:val="00900EBC"/>
    <w:rsid w:val="009025E5"/>
    <w:rsid w:val="009075EF"/>
    <w:rsid w:val="00907D9D"/>
    <w:rsid w:val="00911C38"/>
    <w:rsid w:val="00912E3F"/>
    <w:rsid w:val="00913692"/>
    <w:rsid w:val="00920939"/>
    <w:rsid w:val="00921B6F"/>
    <w:rsid w:val="00930D7B"/>
    <w:rsid w:val="0093432D"/>
    <w:rsid w:val="009358CA"/>
    <w:rsid w:val="00943A78"/>
    <w:rsid w:val="0094458E"/>
    <w:rsid w:val="00944DED"/>
    <w:rsid w:val="00945BBD"/>
    <w:rsid w:val="009524B9"/>
    <w:rsid w:val="00953275"/>
    <w:rsid w:val="009542EF"/>
    <w:rsid w:val="00971D51"/>
    <w:rsid w:val="00980394"/>
    <w:rsid w:val="0098145B"/>
    <w:rsid w:val="0098265A"/>
    <w:rsid w:val="0098344E"/>
    <w:rsid w:val="00992FD4"/>
    <w:rsid w:val="009A01A5"/>
    <w:rsid w:val="009A73E7"/>
    <w:rsid w:val="009B192F"/>
    <w:rsid w:val="009B41F3"/>
    <w:rsid w:val="009C3E56"/>
    <w:rsid w:val="009D58FF"/>
    <w:rsid w:val="009D6F5B"/>
    <w:rsid w:val="009DB7E0"/>
    <w:rsid w:val="009E3ACE"/>
    <w:rsid w:val="009F390D"/>
    <w:rsid w:val="009F450D"/>
    <w:rsid w:val="009F791F"/>
    <w:rsid w:val="00A05ABD"/>
    <w:rsid w:val="00A06ECC"/>
    <w:rsid w:val="00A10B01"/>
    <w:rsid w:val="00A112B6"/>
    <w:rsid w:val="00A139DC"/>
    <w:rsid w:val="00A17380"/>
    <w:rsid w:val="00A2241E"/>
    <w:rsid w:val="00A31EC6"/>
    <w:rsid w:val="00A33386"/>
    <w:rsid w:val="00A33435"/>
    <w:rsid w:val="00A3433D"/>
    <w:rsid w:val="00A359E1"/>
    <w:rsid w:val="00A4052D"/>
    <w:rsid w:val="00A41616"/>
    <w:rsid w:val="00A42F0A"/>
    <w:rsid w:val="00A43EBD"/>
    <w:rsid w:val="00A470F0"/>
    <w:rsid w:val="00A60936"/>
    <w:rsid w:val="00A61C96"/>
    <w:rsid w:val="00A7348D"/>
    <w:rsid w:val="00A8161E"/>
    <w:rsid w:val="00A81DED"/>
    <w:rsid w:val="00A8480D"/>
    <w:rsid w:val="00A8669F"/>
    <w:rsid w:val="00A95870"/>
    <w:rsid w:val="00AA02D4"/>
    <w:rsid w:val="00AA057C"/>
    <w:rsid w:val="00AA51C4"/>
    <w:rsid w:val="00AA5510"/>
    <w:rsid w:val="00AC029A"/>
    <w:rsid w:val="00AC07B6"/>
    <w:rsid w:val="00AC421D"/>
    <w:rsid w:val="00AC6456"/>
    <w:rsid w:val="00AD3B4A"/>
    <w:rsid w:val="00AD696D"/>
    <w:rsid w:val="00AE0E6F"/>
    <w:rsid w:val="00AE15FE"/>
    <w:rsid w:val="00AF06A3"/>
    <w:rsid w:val="00B17726"/>
    <w:rsid w:val="00B2058A"/>
    <w:rsid w:val="00B21E37"/>
    <w:rsid w:val="00B222B6"/>
    <w:rsid w:val="00B25725"/>
    <w:rsid w:val="00B33F4A"/>
    <w:rsid w:val="00B371F5"/>
    <w:rsid w:val="00B42558"/>
    <w:rsid w:val="00B44042"/>
    <w:rsid w:val="00B44E01"/>
    <w:rsid w:val="00B4521F"/>
    <w:rsid w:val="00B4644B"/>
    <w:rsid w:val="00B46AB4"/>
    <w:rsid w:val="00B557E1"/>
    <w:rsid w:val="00B5785E"/>
    <w:rsid w:val="00B62922"/>
    <w:rsid w:val="00B64418"/>
    <w:rsid w:val="00B66C21"/>
    <w:rsid w:val="00B67434"/>
    <w:rsid w:val="00B67B7D"/>
    <w:rsid w:val="00B77017"/>
    <w:rsid w:val="00B84BED"/>
    <w:rsid w:val="00B8645E"/>
    <w:rsid w:val="00B9220E"/>
    <w:rsid w:val="00BA56FB"/>
    <w:rsid w:val="00BB26F7"/>
    <w:rsid w:val="00BC64B6"/>
    <w:rsid w:val="00BD13BD"/>
    <w:rsid w:val="00BD3496"/>
    <w:rsid w:val="00BD6850"/>
    <w:rsid w:val="00BD7551"/>
    <w:rsid w:val="00BF5369"/>
    <w:rsid w:val="00C157A5"/>
    <w:rsid w:val="00C15857"/>
    <w:rsid w:val="00C15A6C"/>
    <w:rsid w:val="00C15BB9"/>
    <w:rsid w:val="00C16914"/>
    <w:rsid w:val="00C170A3"/>
    <w:rsid w:val="00C17D5C"/>
    <w:rsid w:val="00C2595F"/>
    <w:rsid w:val="00C26DAC"/>
    <w:rsid w:val="00C30741"/>
    <w:rsid w:val="00C35CA4"/>
    <w:rsid w:val="00C6481D"/>
    <w:rsid w:val="00C67DB2"/>
    <w:rsid w:val="00C704F2"/>
    <w:rsid w:val="00C71363"/>
    <w:rsid w:val="00C7354D"/>
    <w:rsid w:val="00C73CA7"/>
    <w:rsid w:val="00C742D2"/>
    <w:rsid w:val="00C77B82"/>
    <w:rsid w:val="00C86401"/>
    <w:rsid w:val="00C92DF1"/>
    <w:rsid w:val="00CA151B"/>
    <w:rsid w:val="00CA7037"/>
    <w:rsid w:val="00CA7B06"/>
    <w:rsid w:val="00CC08DE"/>
    <w:rsid w:val="00CD64CF"/>
    <w:rsid w:val="00CD6682"/>
    <w:rsid w:val="00CE2681"/>
    <w:rsid w:val="00CE536B"/>
    <w:rsid w:val="00CF23DF"/>
    <w:rsid w:val="00CF46D4"/>
    <w:rsid w:val="00CF595C"/>
    <w:rsid w:val="00CF7A3F"/>
    <w:rsid w:val="00D00977"/>
    <w:rsid w:val="00D0395B"/>
    <w:rsid w:val="00D1031E"/>
    <w:rsid w:val="00D17EBC"/>
    <w:rsid w:val="00D20D78"/>
    <w:rsid w:val="00D243BA"/>
    <w:rsid w:val="00D316DC"/>
    <w:rsid w:val="00D33209"/>
    <w:rsid w:val="00D33355"/>
    <w:rsid w:val="00D365DD"/>
    <w:rsid w:val="00D36778"/>
    <w:rsid w:val="00D42A2D"/>
    <w:rsid w:val="00D46BBD"/>
    <w:rsid w:val="00D517B0"/>
    <w:rsid w:val="00D5426B"/>
    <w:rsid w:val="00D55E4E"/>
    <w:rsid w:val="00D606CE"/>
    <w:rsid w:val="00D60EFF"/>
    <w:rsid w:val="00D62AE4"/>
    <w:rsid w:val="00D6318B"/>
    <w:rsid w:val="00D63516"/>
    <w:rsid w:val="00D673FC"/>
    <w:rsid w:val="00D80BDA"/>
    <w:rsid w:val="00D863EA"/>
    <w:rsid w:val="00D86666"/>
    <w:rsid w:val="00D923F4"/>
    <w:rsid w:val="00D93586"/>
    <w:rsid w:val="00D94C58"/>
    <w:rsid w:val="00DA7B08"/>
    <w:rsid w:val="00DB1378"/>
    <w:rsid w:val="00DB640F"/>
    <w:rsid w:val="00DB695D"/>
    <w:rsid w:val="00DC5A79"/>
    <w:rsid w:val="00DC6FE1"/>
    <w:rsid w:val="00DD4814"/>
    <w:rsid w:val="00DE50E3"/>
    <w:rsid w:val="00E000C6"/>
    <w:rsid w:val="00E01E3B"/>
    <w:rsid w:val="00E030C0"/>
    <w:rsid w:val="00E0607C"/>
    <w:rsid w:val="00E11BE8"/>
    <w:rsid w:val="00E16538"/>
    <w:rsid w:val="00E21344"/>
    <w:rsid w:val="00E32D08"/>
    <w:rsid w:val="00E34D51"/>
    <w:rsid w:val="00E35B15"/>
    <w:rsid w:val="00E37F88"/>
    <w:rsid w:val="00E5795D"/>
    <w:rsid w:val="00E61BDA"/>
    <w:rsid w:val="00E66E04"/>
    <w:rsid w:val="00E7788A"/>
    <w:rsid w:val="00E83142"/>
    <w:rsid w:val="00E86DF8"/>
    <w:rsid w:val="00E92E95"/>
    <w:rsid w:val="00E93B37"/>
    <w:rsid w:val="00E96C6E"/>
    <w:rsid w:val="00EB09BC"/>
    <w:rsid w:val="00EB222E"/>
    <w:rsid w:val="00EB25E9"/>
    <w:rsid w:val="00EB38BA"/>
    <w:rsid w:val="00EB768A"/>
    <w:rsid w:val="00EC498F"/>
    <w:rsid w:val="00EC5719"/>
    <w:rsid w:val="00ED0ABD"/>
    <w:rsid w:val="00ED6EEC"/>
    <w:rsid w:val="00EE1614"/>
    <w:rsid w:val="00EE2DE3"/>
    <w:rsid w:val="00EE490F"/>
    <w:rsid w:val="00EE4ECE"/>
    <w:rsid w:val="00EF403B"/>
    <w:rsid w:val="00F0085A"/>
    <w:rsid w:val="00F00D83"/>
    <w:rsid w:val="00F03C19"/>
    <w:rsid w:val="00F045F5"/>
    <w:rsid w:val="00F0789F"/>
    <w:rsid w:val="00F13AF9"/>
    <w:rsid w:val="00F15CA4"/>
    <w:rsid w:val="00F17051"/>
    <w:rsid w:val="00F17E3B"/>
    <w:rsid w:val="00F212A8"/>
    <w:rsid w:val="00F22F81"/>
    <w:rsid w:val="00F24EF3"/>
    <w:rsid w:val="00F4132B"/>
    <w:rsid w:val="00F45F34"/>
    <w:rsid w:val="00F558E7"/>
    <w:rsid w:val="00F62587"/>
    <w:rsid w:val="00F628BF"/>
    <w:rsid w:val="00F63ED9"/>
    <w:rsid w:val="00F6444A"/>
    <w:rsid w:val="00F64F5A"/>
    <w:rsid w:val="00F76A39"/>
    <w:rsid w:val="00FA0D0F"/>
    <w:rsid w:val="00FA2BC8"/>
    <w:rsid w:val="00FA4DE3"/>
    <w:rsid w:val="00FB0EE5"/>
    <w:rsid w:val="00FB1359"/>
    <w:rsid w:val="00FB3E96"/>
    <w:rsid w:val="00FC19AE"/>
    <w:rsid w:val="00FC26D6"/>
    <w:rsid w:val="00FC3C4F"/>
    <w:rsid w:val="00FE1137"/>
    <w:rsid w:val="00FE3844"/>
    <w:rsid w:val="00FE5788"/>
    <w:rsid w:val="00FF3B1B"/>
    <w:rsid w:val="00FF631D"/>
    <w:rsid w:val="01B72247"/>
    <w:rsid w:val="02397871"/>
    <w:rsid w:val="03001AE1"/>
    <w:rsid w:val="032627F7"/>
    <w:rsid w:val="04C8E8C4"/>
    <w:rsid w:val="06E9F3A0"/>
    <w:rsid w:val="0719AB4C"/>
    <w:rsid w:val="074481BF"/>
    <w:rsid w:val="075158DB"/>
    <w:rsid w:val="0873156F"/>
    <w:rsid w:val="09038353"/>
    <w:rsid w:val="0C06779D"/>
    <w:rsid w:val="0DDFEBED"/>
    <w:rsid w:val="0EC7AC93"/>
    <w:rsid w:val="0F5D162F"/>
    <w:rsid w:val="0F9CDD7F"/>
    <w:rsid w:val="124CB6B3"/>
    <w:rsid w:val="13E067B8"/>
    <w:rsid w:val="152B26BA"/>
    <w:rsid w:val="1698CAA9"/>
    <w:rsid w:val="1703EFAF"/>
    <w:rsid w:val="1737182E"/>
    <w:rsid w:val="175B307C"/>
    <w:rsid w:val="17710D09"/>
    <w:rsid w:val="18CFFF9E"/>
    <w:rsid w:val="1A7D7A90"/>
    <w:rsid w:val="1C3850FF"/>
    <w:rsid w:val="1D616FB9"/>
    <w:rsid w:val="1E8096E9"/>
    <w:rsid w:val="1E832C4D"/>
    <w:rsid w:val="1F59497A"/>
    <w:rsid w:val="20EE78F3"/>
    <w:rsid w:val="22BD8770"/>
    <w:rsid w:val="2623EF33"/>
    <w:rsid w:val="26BA843B"/>
    <w:rsid w:val="28255372"/>
    <w:rsid w:val="284ABBC9"/>
    <w:rsid w:val="2940AFE4"/>
    <w:rsid w:val="2AC89955"/>
    <w:rsid w:val="2BB38AFD"/>
    <w:rsid w:val="2C5219EC"/>
    <w:rsid w:val="2CE3E4C9"/>
    <w:rsid w:val="2E131336"/>
    <w:rsid w:val="2F2B4EAD"/>
    <w:rsid w:val="30594CB5"/>
    <w:rsid w:val="314CF748"/>
    <w:rsid w:val="3155E0ED"/>
    <w:rsid w:val="31C5561E"/>
    <w:rsid w:val="33656C27"/>
    <w:rsid w:val="33F2B6DE"/>
    <w:rsid w:val="3424EB75"/>
    <w:rsid w:val="34407F5B"/>
    <w:rsid w:val="35A0C5F3"/>
    <w:rsid w:val="35DC3BC5"/>
    <w:rsid w:val="35DC4FBC"/>
    <w:rsid w:val="378E75A9"/>
    <w:rsid w:val="3798ACB3"/>
    <w:rsid w:val="39391F54"/>
    <w:rsid w:val="39B68667"/>
    <w:rsid w:val="3BF964AA"/>
    <w:rsid w:val="3C43F565"/>
    <w:rsid w:val="3CE8F521"/>
    <w:rsid w:val="3E70A410"/>
    <w:rsid w:val="3EB4D706"/>
    <w:rsid w:val="3F367700"/>
    <w:rsid w:val="3FA597C2"/>
    <w:rsid w:val="3FBA32C4"/>
    <w:rsid w:val="4006D6E1"/>
    <w:rsid w:val="4093A951"/>
    <w:rsid w:val="413C5931"/>
    <w:rsid w:val="41D54254"/>
    <w:rsid w:val="422E6C0C"/>
    <w:rsid w:val="4240DDD1"/>
    <w:rsid w:val="42A4274A"/>
    <w:rsid w:val="43330C32"/>
    <w:rsid w:val="44015987"/>
    <w:rsid w:val="442DA03B"/>
    <w:rsid w:val="44756B75"/>
    <w:rsid w:val="44A18FC9"/>
    <w:rsid w:val="44A340D2"/>
    <w:rsid w:val="44A6A286"/>
    <w:rsid w:val="4689C99E"/>
    <w:rsid w:val="46C37522"/>
    <w:rsid w:val="4725CAF8"/>
    <w:rsid w:val="47963812"/>
    <w:rsid w:val="47D9308B"/>
    <w:rsid w:val="486437FA"/>
    <w:rsid w:val="49A0FED6"/>
    <w:rsid w:val="4A604683"/>
    <w:rsid w:val="4AD5461C"/>
    <w:rsid w:val="4D2499FE"/>
    <w:rsid w:val="4D9F84F9"/>
    <w:rsid w:val="4DC97AAD"/>
    <w:rsid w:val="4E50AEDD"/>
    <w:rsid w:val="508A0F70"/>
    <w:rsid w:val="508B3E60"/>
    <w:rsid w:val="51DBBEDE"/>
    <w:rsid w:val="52088714"/>
    <w:rsid w:val="532EDD2B"/>
    <w:rsid w:val="53907048"/>
    <w:rsid w:val="54E4B40D"/>
    <w:rsid w:val="5737EEEF"/>
    <w:rsid w:val="57C0C656"/>
    <w:rsid w:val="57ECC8BC"/>
    <w:rsid w:val="582BB07D"/>
    <w:rsid w:val="5907AD3E"/>
    <w:rsid w:val="5B580072"/>
    <w:rsid w:val="5D0BF982"/>
    <w:rsid w:val="5D6A8BB1"/>
    <w:rsid w:val="5E69D1B0"/>
    <w:rsid w:val="5F39306F"/>
    <w:rsid w:val="5F605716"/>
    <w:rsid w:val="5FD3F315"/>
    <w:rsid w:val="602A31F2"/>
    <w:rsid w:val="63A2E9EF"/>
    <w:rsid w:val="656572D5"/>
    <w:rsid w:val="66156DC9"/>
    <w:rsid w:val="663CB8F1"/>
    <w:rsid w:val="66C5C0AD"/>
    <w:rsid w:val="68B46195"/>
    <w:rsid w:val="68E1F68F"/>
    <w:rsid w:val="6953EB00"/>
    <w:rsid w:val="6A5EE75F"/>
    <w:rsid w:val="6E0DE89B"/>
    <w:rsid w:val="6F7FC1AC"/>
    <w:rsid w:val="6FD6FB80"/>
    <w:rsid w:val="704D9300"/>
    <w:rsid w:val="70537356"/>
    <w:rsid w:val="71E5C29A"/>
    <w:rsid w:val="71E96361"/>
    <w:rsid w:val="72A564CE"/>
    <w:rsid w:val="72D682E8"/>
    <w:rsid w:val="73916D0C"/>
    <w:rsid w:val="7499DF0D"/>
    <w:rsid w:val="7692A02F"/>
    <w:rsid w:val="76DACE0E"/>
    <w:rsid w:val="776BC175"/>
    <w:rsid w:val="77A01C18"/>
    <w:rsid w:val="786CD6A4"/>
    <w:rsid w:val="79222283"/>
    <w:rsid w:val="7932940C"/>
    <w:rsid w:val="7A3A1265"/>
    <w:rsid w:val="7B6F1CC8"/>
    <w:rsid w:val="7C1C9C6A"/>
    <w:rsid w:val="7FE04BA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4E071"/>
  <w15:docId w15:val="{6E5ABCB6-51AA-47A7-A2DA-23F3A60C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08DE"/>
    <w:pPr>
      <w:widowControl w:val="0"/>
      <w:spacing w:after="260" w:line="260" w:lineRule="atLeast"/>
    </w:pPr>
  </w:style>
  <w:style w:type="paragraph" w:styleId="berschrift1">
    <w:name w:val="heading 1"/>
    <w:basedOn w:val="Standard"/>
    <w:next w:val="Standard"/>
    <w:qFormat/>
    <w:pPr>
      <w:pageBreakBefore/>
      <w:spacing w:line="240" w:lineRule="auto"/>
      <w:outlineLvl w:val="0"/>
    </w:pPr>
    <w:rPr>
      <w:rFonts w:cs="Arial"/>
      <w:b/>
      <w:bCs/>
      <w:kern w:val="28"/>
      <w:szCs w:val="42"/>
    </w:rPr>
  </w:style>
  <w:style w:type="paragraph" w:styleId="berschrift2">
    <w:name w:val="heading 2"/>
    <w:basedOn w:val="Standard"/>
    <w:next w:val="Standard"/>
    <w:qFormat/>
    <w:pPr>
      <w:numPr>
        <w:ilvl w:val="1"/>
        <w:numId w:val="20"/>
      </w:numPr>
      <w:outlineLvl w:val="1"/>
    </w:pPr>
    <w:rPr>
      <w:rFonts w:cs="Arial"/>
      <w:bCs/>
      <w:iCs/>
      <w:szCs w:val="28"/>
    </w:rPr>
  </w:style>
  <w:style w:type="paragraph" w:styleId="berschrift3">
    <w:name w:val="heading 3"/>
    <w:basedOn w:val="Standard"/>
    <w:next w:val="Standard"/>
    <w:qFormat/>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pPr>
      <w:spacing w:line="160" w:lineRule="exact"/>
    </w:pPr>
    <w:rPr>
      <w:noProof/>
      <w:sz w:val="12"/>
      <w:szCs w:val="12"/>
    </w:rPr>
  </w:style>
  <w:style w:type="paragraph" w:styleId="Titel">
    <w:name w:val="Title"/>
    <w:basedOn w:val="Standard"/>
    <w:next w:val="Standard"/>
    <w:qFormat/>
    <w:pPr>
      <w:spacing w:after="240" w:line="240" w:lineRule="auto"/>
      <w:outlineLvl w:val="0"/>
    </w:pPr>
    <w:rPr>
      <w:rFonts w:cs="Arial"/>
      <w:b/>
      <w:bCs/>
      <w:kern w:val="28"/>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after="0"/>
      <w:outlineLvl w:val="0"/>
    </w:pPr>
    <w:rPr>
      <w:lang w:eastAsia="de-DE"/>
    </w:rPr>
  </w:style>
  <w:style w:type="paragraph" w:customStyle="1" w:styleId="Anhangweitere">
    <w:name w:val="Anhang weitere"/>
    <w:basedOn w:val="Standard"/>
    <w:pPr>
      <w:numPr>
        <w:numId w:val="1"/>
      </w:numPr>
      <w:tabs>
        <w:tab w:val="clear" w:pos="1996"/>
        <w:tab w:val="num" w:pos="100"/>
      </w:tabs>
      <w:spacing w:after="0"/>
      <w:ind w:left="100" w:hanging="100"/>
    </w:pPr>
  </w:style>
  <w:style w:type="paragraph" w:customStyle="1" w:styleId="Anreden">
    <w:name w:val="Anreden"/>
    <w:basedOn w:val="Standard"/>
  </w:style>
  <w:style w:type="paragraph" w:customStyle="1" w:styleId="Aufzhlung123">
    <w:name w:val="Aufzählung 1.2.3"/>
    <w:basedOn w:val="Standard"/>
    <w:qFormat/>
    <w:pPr>
      <w:numPr>
        <w:numId w:val="21"/>
      </w:numPr>
      <w:spacing w:after="0"/>
    </w:pPr>
    <w:rPr>
      <w:lang w:eastAsia="de-DE"/>
    </w:rPr>
  </w:style>
  <w:style w:type="paragraph" w:customStyle="1" w:styleId="Aufzhlung1231cmeingerckt">
    <w:name w:val="Aufzählung 1.2.3 1 cm eingerückt"/>
    <w:basedOn w:val="Standard"/>
    <w:pPr>
      <w:numPr>
        <w:numId w:val="4"/>
      </w:numPr>
      <w:spacing w:after="0"/>
    </w:pPr>
    <w:rPr>
      <w:lang w:eastAsia="de-DE"/>
    </w:rPr>
  </w:style>
  <w:style w:type="paragraph" w:customStyle="1" w:styleId="Aufzhlung1232cmeingerckt">
    <w:name w:val="Aufzählung 1.2.3. 2 cm eingerückt"/>
    <w:basedOn w:val="Standard"/>
    <w:pPr>
      <w:numPr>
        <w:numId w:val="5"/>
      </w:numPr>
      <w:spacing w:after="0"/>
    </w:pPr>
    <w:rPr>
      <w:lang w:eastAsia="de-DE"/>
    </w:rPr>
  </w:style>
  <w:style w:type="paragraph" w:customStyle="1" w:styleId="Aufzhlungabc">
    <w:name w:val="Aufzählung a)b)c)"/>
    <w:basedOn w:val="Standard"/>
    <w:qFormat/>
    <w:pPr>
      <w:numPr>
        <w:numId w:val="22"/>
      </w:numPr>
      <w:spacing w:after="0"/>
    </w:pPr>
    <w:rPr>
      <w:lang w:eastAsia="de-DE"/>
    </w:rPr>
  </w:style>
  <w:style w:type="paragraph" w:customStyle="1" w:styleId="Aufzhlungabc1cmeingerckt0">
    <w:name w:val="Aufzählung a)b)c) 1 cm eingerückt"/>
    <w:basedOn w:val="Standard"/>
    <w:pPr>
      <w:numPr>
        <w:numId w:val="6"/>
      </w:numPr>
      <w:spacing w:after="0"/>
    </w:pPr>
    <w:rPr>
      <w:lang w:eastAsia="de-DE"/>
    </w:rPr>
  </w:style>
  <w:style w:type="paragraph" w:customStyle="1" w:styleId="Aufzhlungabc2cmeingerckt">
    <w:name w:val="Aufzählung a)b)c) 2 cm eingerückt"/>
    <w:basedOn w:val="Standard"/>
    <w:pPr>
      <w:numPr>
        <w:numId w:val="7"/>
      </w:numPr>
      <w:spacing w:after="0"/>
    </w:pPr>
    <w:rPr>
      <w:lang w:eastAsia="de-DE"/>
    </w:rPr>
  </w:style>
  <w:style w:type="paragraph" w:customStyle="1" w:styleId="AufzhlungPunkt">
    <w:name w:val="Aufzählung Punkt"/>
    <w:basedOn w:val="Standard"/>
    <w:qFormat/>
    <w:pPr>
      <w:numPr>
        <w:numId w:val="23"/>
      </w:numPr>
      <w:tabs>
        <w:tab w:val="left" w:pos="284"/>
      </w:tabs>
      <w:spacing w:after="0"/>
    </w:pPr>
    <w:rPr>
      <w:lang w:eastAsia="de-DE"/>
    </w:rPr>
  </w:style>
  <w:style w:type="paragraph" w:customStyle="1" w:styleId="AufzhlungPunkt1cmeingerckt">
    <w:name w:val="Aufzählung Punkt 1 cm eingerückt"/>
    <w:basedOn w:val="Standard"/>
    <w:pPr>
      <w:numPr>
        <w:numId w:val="9"/>
      </w:numPr>
      <w:spacing w:after="0"/>
      <w:ind w:left="924" w:hanging="357"/>
    </w:pPr>
    <w:rPr>
      <w:lang w:eastAsia="de-DE"/>
    </w:rPr>
  </w:style>
  <w:style w:type="paragraph" w:customStyle="1" w:styleId="AufzhlungPunkt2cmeingerckt">
    <w:name w:val="Aufzählung Punkt 2 cm eingerückt"/>
    <w:basedOn w:val="Standard"/>
    <w:pPr>
      <w:numPr>
        <w:numId w:val="10"/>
      </w:numPr>
      <w:spacing w:after="0"/>
      <w:ind w:left="1491" w:hanging="357"/>
    </w:pPr>
    <w:rPr>
      <w:lang w:eastAsia="de-DE"/>
    </w:rPr>
  </w:style>
  <w:style w:type="paragraph" w:customStyle="1" w:styleId="AufzhlungStrich">
    <w:name w:val="Aufzählung Strich"/>
    <w:basedOn w:val="Standard"/>
    <w:qFormat/>
    <w:pPr>
      <w:numPr>
        <w:numId w:val="24"/>
      </w:numPr>
      <w:tabs>
        <w:tab w:val="left" w:pos="284"/>
      </w:tabs>
      <w:spacing w:after="0"/>
    </w:pPr>
    <w:rPr>
      <w:lang w:eastAsia="de-DE"/>
    </w:rPr>
  </w:style>
  <w:style w:type="paragraph" w:customStyle="1" w:styleId="AufzhlungStrich1cmeingerckt">
    <w:name w:val="Aufzählung Strich 1 cm eingerückt"/>
    <w:basedOn w:val="Standard"/>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pPr>
      <w:numPr>
        <w:numId w:val="12"/>
      </w:numPr>
      <w:tabs>
        <w:tab w:val="left" w:pos="1418"/>
      </w:tabs>
      <w:spacing w:after="0"/>
      <w:ind w:left="1418" w:hanging="284"/>
    </w:pPr>
    <w:rPr>
      <w:lang w:eastAsia="de-DE"/>
    </w:rPr>
  </w:style>
  <w:style w:type="paragraph" w:customStyle="1" w:styleId="AufzhlungZahl">
    <w:name w:val="Aufzählung Zahl"/>
    <w:basedOn w:val="Standard"/>
    <w:autoRedefine/>
    <w:pPr>
      <w:numPr>
        <w:numId w:val="2"/>
      </w:numPr>
      <w:tabs>
        <w:tab w:val="left" w:pos="72"/>
      </w:tabs>
      <w:spacing w:after="0"/>
    </w:pPr>
    <w:rPr>
      <w:b/>
    </w:rPr>
  </w:style>
  <w:style w:type="paragraph" w:customStyle="1" w:styleId="Betreff">
    <w:name w:val="Betreff"/>
    <w:basedOn w:val="Standard"/>
    <w:qFormat/>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after="0"/>
    </w:pPr>
    <w:rPr>
      <w:lang w:eastAsia="de-DE"/>
    </w:rPr>
  </w:style>
  <w:style w:type="paragraph" w:customStyle="1" w:styleId="BriefschlussNurLeiter">
    <w:name w:val="Briefschluss (Nur Leiter)"/>
    <w:basedOn w:val="Standard"/>
    <w:next w:val="Anhang"/>
    <w:rPr>
      <w:lang w:eastAsia="de-DE"/>
    </w:rPr>
  </w:style>
  <w:style w:type="character" w:styleId="Fett">
    <w:name w:val="Strong"/>
    <w:basedOn w:val="Absatz-Standardschriftar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fr-CH"/>
    </w:rPr>
  </w:style>
  <w:style w:type="paragraph" w:customStyle="1" w:styleId="Post">
    <w:name w:val="Post"/>
    <w:basedOn w:val="Standard"/>
    <w:next w:val="Standard"/>
    <w:qFormat/>
    <w:pPr>
      <w:spacing w:after="140" w:line="200" w:lineRule="exact"/>
    </w:pPr>
    <w:rPr>
      <w:sz w:val="14"/>
      <w:u w:val="single"/>
    </w:rPr>
  </w:style>
  <w:style w:type="paragraph" w:customStyle="1" w:styleId="Ref">
    <w:name w:val="Ref"/>
    <w:basedOn w:val="Standard2"/>
    <w:next w:val="Standard"/>
    <w:qFormat/>
    <w:pPr>
      <w:widowControl w:val="0"/>
      <w:spacing w:line="200" w:lineRule="exact"/>
    </w:pPr>
    <w:rPr>
      <w:b/>
      <w:bCs/>
      <w:sz w:val="15"/>
    </w:rPr>
  </w:style>
  <w:style w:type="paragraph" w:customStyle="1" w:styleId="StandardEingerckt1cm">
    <w:name w:val="Standard  Eingerückt 1 cm"/>
    <w:basedOn w:val="Standard"/>
    <w:pPr>
      <w:ind w:left="567"/>
    </w:pPr>
    <w:rPr>
      <w:lang w:eastAsia="de-DE"/>
    </w:rPr>
  </w:style>
  <w:style w:type="paragraph" w:customStyle="1" w:styleId="StandardEingerckt2cm">
    <w:name w:val="Standard Eingerückt 2 cm"/>
    <w:basedOn w:val="Standard"/>
    <w:pPr>
      <w:ind w:left="1134"/>
    </w:pPr>
    <w:rPr>
      <w:lang w:eastAsia="de-DE"/>
    </w:r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hAnsi="Helvetica"/>
      <w:sz w:val="28"/>
    </w:rPr>
  </w:style>
  <w:style w:type="paragraph" w:customStyle="1" w:styleId="Unterstrichen">
    <w:name w:val="Unterstrichen"/>
    <w:pPr>
      <w:spacing w:line="260" w:lineRule="exact"/>
    </w:pPr>
    <w:rPr>
      <w:u w:val="single"/>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BesuchterLink">
    <w:name w:val="FollowedHyperlink"/>
    <w:uiPriority w:val="99"/>
    <w:semiHidden/>
    <w:unhideWhenUsed/>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fr-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lang w:val="fr-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val="fr-CH" w:eastAsia="de-CH"/>
    </w:rPr>
  </w:style>
  <w:style w:type="paragraph" w:styleId="Inhaltsverzeichnisberschrift">
    <w:name w:val="TOC Heading"/>
    <w:basedOn w:val="berschrift1"/>
    <w:next w:val="Standard"/>
    <w:uiPriority w:val="39"/>
    <w:semiHidden/>
    <w:unhideWhenUsed/>
    <w:qFormat/>
    <w:pPr>
      <w:keepNext/>
      <w:keepLines/>
      <w:widowControl/>
      <w:spacing w:before="480" w:after="0" w:line="276" w:lineRule="auto"/>
      <w:outlineLvl w:val="9"/>
    </w:pPr>
    <w:rPr>
      <w:rFonts w:ascii="Cambria" w:hAnsi="Cambria" w:cs="Times New Roman"/>
      <w:color w:val="365F91"/>
      <w:kern w:val="0"/>
      <w:sz w:val="28"/>
      <w:szCs w:val="28"/>
    </w:rPr>
  </w:style>
  <w:style w:type="paragraph" w:styleId="Verzeichnis1">
    <w:name w:val="toc 1"/>
    <w:basedOn w:val="Standard"/>
    <w:next w:val="Standard"/>
    <w:autoRedefine/>
    <w:uiPriority w:val="39"/>
    <w:unhideWhenUsed/>
    <w:pPr>
      <w:tabs>
        <w:tab w:val="right" w:leader="dot" w:pos="14005"/>
      </w:tabs>
      <w:spacing w:after="60"/>
    </w:pPr>
  </w:style>
  <w:style w:type="character" w:styleId="NichtaufgelsteErwhnung">
    <w:name w:val="Unresolved Mention"/>
    <w:basedOn w:val="Absatz-Standardschriftart"/>
    <w:uiPriority w:val="99"/>
    <w:semiHidden/>
    <w:unhideWhenUsed/>
    <w:rsid w:val="00953275"/>
    <w:rPr>
      <w:color w:val="605E5C"/>
      <w:shd w:val="clear" w:color="auto" w:fill="E1DFDD"/>
    </w:rPr>
  </w:style>
  <w:style w:type="paragraph" w:styleId="Listenabsatz">
    <w:name w:val="List Paragraph"/>
    <w:basedOn w:val="Standard"/>
    <w:uiPriority w:val="34"/>
    <w:rsid w:val="00204206"/>
    <w:pPr>
      <w:ind w:left="720"/>
      <w:contextualSpacing/>
    </w:pPr>
  </w:style>
  <w:style w:type="paragraph" w:styleId="berarbeitung">
    <w:name w:val="Revision"/>
    <w:hidden/>
    <w:uiPriority w:val="99"/>
    <w:semiHidden/>
    <w:rsid w:val="00F6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1988">
      <w:bodyDiv w:val="1"/>
      <w:marLeft w:val="0"/>
      <w:marRight w:val="0"/>
      <w:marTop w:val="0"/>
      <w:marBottom w:val="0"/>
      <w:divBdr>
        <w:top w:val="none" w:sz="0" w:space="0" w:color="auto"/>
        <w:left w:val="none" w:sz="0" w:space="0" w:color="auto"/>
        <w:bottom w:val="none" w:sz="0" w:space="0" w:color="auto"/>
        <w:right w:val="none" w:sz="0" w:space="0" w:color="auto"/>
      </w:divBdr>
      <w:divsChild>
        <w:div w:id="1452632649">
          <w:marLeft w:val="0"/>
          <w:marRight w:val="0"/>
          <w:marTop w:val="0"/>
          <w:marBottom w:val="0"/>
          <w:divBdr>
            <w:top w:val="none" w:sz="0" w:space="0" w:color="auto"/>
            <w:left w:val="none" w:sz="0" w:space="0" w:color="auto"/>
            <w:bottom w:val="none" w:sz="0" w:space="0" w:color="auto"/>
            <w:right w:val="none" w:sz="0" w:space="0" w:color="auto"/>
          </w:divBdr>
          <w:divsChild>
            <w:div w:id="1384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87075">
      <w:bodyDiv w:val="1"/>
      <w:marLeft w:val="0"/>
      <w:marRight w:val="0"/>
      <w:marTop w:val="0"/>
      <w:marBottom w:val="0"/>
      <w:divBdr>
        <w:top w:val="none" w:sz="0" w:space="0" w:color="auto"/>
        <w:left w:val="none" w:sz="0" w:space="0" w:color="auto"/>
        <w:bottom w:val="none" w:sz="0" w:space="0" w:color="auto"/>
        <w:right w:val="none" w:sz="0" w:space="0" w:color="auto"/>
      </w:divBdr>
    </w:div>
    <w:div w:id="1227573383">
      <w:bodyDiv w:val="1"/>
      <w:marLeft w:val="0"/>
      <w:marRight w:val="0"/>
      <w:marTop w:val="0"/>
      <w:marBottom w:val="0"/>
      <w:divBdr>
        <w:top w:val="none" w:sz="0" w:space="0" w:color="auto"/>
        <w:left w:val="none" w:sz="0" w:space="0" w:color="auto"/>
        <w:bottom w:val="none" w:sz="0" w:space="0" w:color="auto"/>
        <w:right w:val="none" w:sz="0" w:space="0" w:color="auto"/>
      </w:divBdr>
    </w:div>
    <w:div w:id="1696614733">
      <w:bodyDiv w:val="1"/>
      <w:marLeft w:val="0"/>
      <w:marRight w:val="0"/>
      <w:marTop w:val="0"/>
      <w:marBottom w:val="0"/>
      <w:divBdr>
        <w:top w:val="none" w:sz="0" w:space="0" w:color="auto"/>
        <w:left w:val="none" w:sz="0" w:space="0" w:color="auto"/>
        <w:bottom w:val="none" w:sz="0" w:space="0" w:color="auto"/>
        <w:right w:val="none" w:sz="0" w:space="0" w:color="auto"/>
      </w:divBdr>
      <w:divsChild>
        <w:div w:id="276176964">
          <w:marLeft w:val="0"/>
          <w:marRight w:val="0"/>
          <w:marTop w:val="0"/>
          <w:marBottom w:val="0"/>
          <w:divBdr>
            <w:top w:val="none" w:sz="0" w:space="0" w:color="auto"/>
            <w:left w:val="none" w:sz="0" w:space="0" w:color="auto"/>
            <w:bottom w:val="none" w:sz="0" w:space="0" w:color="auto"/>
            <w:right w:val="none" w:sz="0" w:space="0" w:color="auto"/>
          </w:divBdr>
          <w:divsChild>
            <w:div w:id="668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energie@bwl.admin.ch"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ergie@bwl.admin.ch" TargetMode="External"/><Relationship Id="rId2" Type="http://schemas.openxmlformats.org/officeDocument/2006/relationships/customXml" Target="../customXml/item2.xml"/><Relationship Id="rId16" Type="http://schemas.openxmlformats.org/officeDocument/2006/relationships/hyperlink" Target="mailto:energie@bwl.admin.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niel.gerber@sbb.ch"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rnhard.adamek@voev.ch" TargetMode="External"/><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f:fields xmlns:f="http://schemas.fabasoft.com/folio/2007/fields">
  <f:record ref="">
    <f:field ref="objname" par="" edit="true" text="Rückmeldungsformular_Verordnungspaket_2020_dreisprachig"/>
    <f:field ref="objsubject" par="" edit="true" text=""/>
    <f:field ref="objcreatedby" par="" text="Taillard, Mélina, BLW"/>
    <f:field ref="objcreatedat" par="" text="10.01.2020 16:04:51"/>
    <f:field ref="objchangedby" par="" text="Taillard, Mélina, BLW"/>
    <f:field ref="objmodifiedat" par="" text="16.01.2020 16:22:53"/>
    <f:field ref="doc_FSCFOLIO_1_1001_FieldDocumentNumber" par="" text=""/>
    <f:field ref="doc_FSCFOLIO_1_1001_FieldSubject" par="" edit="true" text=""/>
    <f:field ref="FSCFOLIO_1_1001_FieldCurrentUser" par="" text="BLW  Mélina Taillard"/>
    <f:field ref="CCAPRECONFIG_15_1001_Objektname" par="" edit="true" text="Rückmeldungsformular_Verordnungspaket_2020_dreisprachig"/>
    <f:field ref="CHPRECONFIG_1_1001_Objektname" par="" edit="true" text="Rückmeldungsformular_Verordnungspaket_2020_dreisprachig"/>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E3DD70D36F6AD4B93FBB458237E7DA4" ma:contentTypeVersion="13" ma:contentTypeDescription="Ein neues Dokument erstellen." ma:contentTypeScope="" ma:versionID="4ed88d6a2c5377dfbd9efa16fb1f4944">
  <xsd:schema xmlns:xsd="http://www.w3.org/2001/XMLSchema" xmlns:xs="http://www.w3.org/2001/XMLSchema" xmlns:p="http://schemas.microsoft.com/office/2006/metadata/properties" xmlns:ns2="54987170-9f52-4dcc-9168-beceeb996126" xmlns:ns3="129ce7c0-9356-4946-91ad-3234e5404b62" targetNamespace="http://schemas.microsoft.com/office/2006/metadata/properties" ma:root="true" ma:fieldsID="6bb701aa2549843ed89116af467058a9" ns2:_="" ns3:_="">
    <xsd:import namespace="54987170-9f52-4dcc-9168-beceeb996126"/>
    <xsd:import namespace="129ce7c0-9356-4946-91ad-3234e5404b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7170-9f52-4dcc-9168-beceeb99612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9ce7c0-9356-4946-91ad-3234e5404b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Url xmlns="54987170-9f52-4dcc-9168-beceeb996126">
      <Url>https://sbb.sharepoint.com/sites/corona/_layouts/15/DocIdRedir.aspx?ID=EXNMVDYH4TER-1538480688-1948</Url>
      <Description>EXNMVDYH4TER-1538480688-1948</Description>
    </_dlc_DocIdUrl>
    <_dlc_DocId xmlns="54987170-9f52-4dcc-9168-beceeb996126">EXNMVDYH4TER-1538480688-1948</_dlc_DocId>
  </documentManagement>
</p:properties>
</file>

<file path=customXml/itemProps1.xml><?xml version="1.0" encoding="utf-8"?>
<ds:datastoreItem xmlns:ds="http://schemas.openxmlformats.org/officeDocument/2006/customXml" ds:itemID="{5BF638C9-C274-44F2-903B-41B1326D0102}">
  <ds:schemaRefs>
    <ds:schemaRef ds:uri="http://schemas.microsoft.com/sharepoint/event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FA3C468-4DE2-440B-8625-C791216B967E}">
  <ds:schemaRefs>
    <ds:schemaRef ds:uri="http://schemas.microsoft.com/sharepoint/v3/contenttype/forms"/>
  </ds:schemaRefs>
</ds:datastoreItem>
</file>

<file path=customXml/itemProps4.xml><?xml version="1.0" encoding="utf-8"?>
<ds:datastoreItem xmlns:ds="http://schemas.openxmlformats.org/officeDocument/2006/customXml" ds:itemID="{0D2C0246-AD1E-4FD2-8891-F235D20AC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7170-9f52-4dcc-9168-beceeb996126"/>
    <ds:schemaRef ds:uri="129ce7c0-9356-4946-91ad-3234e5404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5663F2-BBE5-4703-8A0E-33DADE099A9A}">
  <ds:schemaRefs>
    <ds:schemaRef ds:uri="http://schemas.openxmlformats.org/officeDocument/2006/bibliography"/>
  </ds:schemaRefs>
</ds:datastoreItem>
</file>

<file path=customXml/itemProps6.xml><?xml version="1.0" encoding="utf-8"?>
<ds:datastoreItem xmlns:ds="http://schemas.openxmlformats.org/officeDocument/2006/customXml" ds:itemID="{B33171A0-3A48-4C36-888B-9E82E9F62A66}">
  <ds:schemaRefs>
    <ds:schemaRef ds:uri="http://schemas.microsoft.com/office/2006/metadata/properties"/>
    <ds:schemaRef ds:uri="http://schemas.microsoft.com/office/infopath/2007/PartnerControls"/>
    <ds:schemaRef ds:uri="dff2d33b-e58c-4b22-aaee-1c3e400aa24b"/>
    <ds:schemaRef ds:uri="dd2d40b1-f6cb-4cdd-b8f9-486b41866926"/>
    <ds:schemaRef ds:uri="fc48761f-100f-4b21-bfba-e6963edc687a"/>
    <ds:schemaRef ds:uri="54987170-9f52-4dcc-9168-beceeb996126"/>
  </ds:schemaRefs>
</ds:datastoreItem>
</file>

<file path=docMetadata/LabelInfo.xml><?xml version="1.0" encoding="utf-8"?>
<clbl:labelList xmlns:clbl="http://schemas.microsoft.com/office/2020/mipLabelMetadata">
  <clbl:label id="{2cda5d11-f0ac-46b3-967d-af1b2e1bd01a}" enabled="0" method="" siteId="{2cda5d11-f0ac-46b3-967d-af1b2e1bd01a}" removed="1"/>
  <clbl:label id="{f9a68f73-b527-45da-b1a3-2f598590be36}" enabled="1" method="Standard" siteId="{3ae7c479-0cf1-47f4-8f84-929f364eff67}"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2032</Words>
  <Characters>12264</Characters>
  <Application>Microsoft Office Word</Application>
  <DocSecurity>0</DocSecurity>
  <Lines>102</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14268</CharactersWithSpaces>
  <SharedDoc>false</SharedDoc>
  <HLinks>
    <vt:vector size="30" baseType="variant">
      <vt:variant>
        <vt:i4>7274501</vt:i4>
      </vt:variant>
      <vt:variant>
        <vt:i4>12</vt:i4>
      </vt:variant>
      <vt:variant>
        <vt:i4>0</vt:i4>
      </vt:variant>
      <vt:variant>
        <vt:i4>5</vt:i4>
      </vt:variant>
      <vt:variant>
        <vt:lpwstr>mailto:energie@bwl.admin.ch</vt:lpwstr>
      </vt:variant>
      <vt:variant>
        <vt:lpwstr/>
      </vt:variant>
      <vt:variant>
        <vt:i4>7274501</vt:i4>
      </vt:variant>
      <vt:variant>
        <vt:i4>9</vt:i4>
      </vt:variant>
      <vt:variant>
        <vt:i4>0</vt:i4>
      </vt:variant>
      <vt:variant>
        <vt:i4>5</vt:i4>
      </vt:variant>
      <vt:variant>
        <vt:lpwstr>mailto:energie@bwl.admin.ch</vt:lpwstr>
      </vt:variant>
      <vt:variant>
        <vt:lpwstr/>
      </vt:variant>
      <vt:variant>
        <vt:i4>7274501</vt:i4>
      </vt:variant>
      <vt:variant>
        <vt:i4>6</vt:i4>
      </vt:variant>
      <vt:variant>
        <vt:i4>0</vt:i4>
      </vt:variant>
      <vt:variant>
        <vt:i4>5</vt:i4>
      </vt:variant>
      <vt:variant>
        <vt:lpwstr>mailto:energie@bwl.admin.ch</vt:lpwstr>
      </vt:variant>
      <vt:variant>
        <vt:lpwstr/>
      </vt:variant>
      <vt:variant>
        <vt:i4>2359378</vt:i4>
      </vt:variant>
      <vt:variant>
        <vt:i4>3</vt:i4>
      </vt:variant>
      <vt:variant>
        <vt:i4>0</vt:i4>
      </vt:variant>
      <vt:variant>
        <vt:i4>5</vt:i4>
      </vt:variant>
      <vt:variant>
        <vt:lpwstr>mailto:daniel.gerber@sbb.ch</vt:lpwstr>
      </vt:variant>
      <vt:variant>
        <vt:lpwstr/>
      </vt:variant>
      <vt:variant>
        <vt:i4>7405595</vt:i4>
      </vt:variant>
      <vt:variant>
        <vt:i4>0</vt:i4>
      </vt:variant>
      <vt:variant>
        <vt:i4>0</vt:i4>
      </vt:variant>
      <vt:variant>
        <vt:i4>5</vt:i4>
      </vt:variant>
      <vt:variant>
        <vt:lpwstr>mailto:bernhard.adamek@voev.ch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blw-met</dc:creator>
  <cp:keywords/>
  <cp:lastModifiedBy>Wohlfender Yvonne (MP-FV)</cp:lastModifiedBy>
  <cp:revision>4</cp:revision>
  <cp:lastPrinted>2023-12-04T07:57:00Z</cp:lastPrinted>
  <dcterms:created xsi:type="dcterms:W3CDTF">2023-11-24T15:16:00Z</dcterms:created>
  <dcterms:modified xsi:type="dcterms:W3CDTF">2023-12-04T07:58:00Z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COO.2101.101.7.1604743</vt:lpwstr>
  </property>
  <property fmtid="{D5CDD505-2E9C-101B-9397-08002B2CF9AE}" pid="11" name="FSC#COOELAK@1.1001:Subject">
    <vt:lpwstr/>
  </property>
  <property fmtid="{D5CDD505-2E9C-101B-9397-08002B2CF9AE}" pid="12" name="FSC#COOELAK@1.1001:FileReference">
    <vt:lpwstr>072.10-00018</vt:lpwstr>
  </property>
  <property fmtid="{D5CDD505-2E9C-101B-9397-08002B2CF9AE}" pid="13" name="FSC#COOELAK@1.1001:FileRefYear">
    <vt:lpwstr>2019</vt:lpwstr>
  </property>
  <property fmtid="{D5CDD505-2E9C-101B-9397-08002B2CF9AE}" pid="14" name="FSC#COOELAK@1.1001:FileRefOrdinal">
    <vt:lpwstr>18</vt:lpwstr>
  </property>
  <property fmtid="{D5CDD505-2E9C-101B-9397-08002B2CF9AE}" pid="15" name="FSC#COOELAK@1.1001:FileRefOU">
    <vt:lpwstr>BLW-SGV</vt:lpwstr>
  </property>
  <property fmtid="{D5CDD505-2E9C-101B-9397-08002B2CF9AE}" pid="16" name="FSC#COOELAK@1.1001:Organization">
    <vt:lpwstr/>
  </property>
  <property fmtid="{D5CDD505-2E9C-101B-9397-08002B2CF9AE}" pid="17" name="FSC#COOELAK@1.1001:Owner">
    <vt:lpwstr>Taillard Mélina, BLW </vt:lpwstr>
  </property>
  <property fmtid="{D5CDD505-2E9C-101B-9397-08002B2CF9AE}" pid="18" name="FSC#COOELAK@1.1001:OwnerExtension">
    <vt:lpwstr>+41 58 461 19 96</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Agrarpolitik und Bundesratsgeschäfte (BLW-FBAP)</vt:lpwstr>
  </property>
  <property fmtid="{D5CDD505-2E9C-101B-9397-08002B2CF9AE}" pid="25" name="FSC#COOELAK@1.1001:CreatedAt">
    <vt:lpwstr>10.01.2020</vt:lpwstr>
  </property>
  <property fmtid="{D5CDD505-2E9C-101B-9397-08002B2CF9AE}" pid="26" name="FSC#COOELAK@1.1001:OU">
    <vt:lpwstr>Unité de direction Politique, droit et ressources internes (BLW-DBPRR)</vt:lpwstr>
  </property>
  <property fmtid="{D5CDD505-2E9C-101B-9397-08002B2CF9AE}" pid="27" name="FSC#COOELAK@1.1001:Priority">
    <vt:lpwstr> ()</vt:lpwstr>
  </property>
  <property fmtid="{D5CDD505-2E9C-101B-9397-08002B2CF9AE}" pid="28" name="FSC#COOELAK@1.1001:ObjBarCode">
    <vt:lpwstr>*COO.2101.101.7.1604743*</vt:lpwstr>
  </property>
  <property fmtid="{D5CDD505-2E9C-101B-9397-08002B2CF9AE}" pid="29" name="FSC#COOELAK@1.1001:RefBarCode">
    <vt:lpwstr>*COO.2101.101.6.1604743*</vt:lpwstr>
  </property>
  <property fmtid="{D5CDD505-2E9C-101B-9397-08002B2CF9AE}" pid="30" name="FSC#COOELAK@1.1001:FileRefBarCode">
    <vt:lpwstr>*072.10-00018*</vt:lpwstr>
  </property>
  <property fmtid="{D5CDD505-2E9C-101B-9397-08002B2CF9AE}" pid="31" name="FSC#COOELAK@1.1001:ExternalRef">
    <vt:lpwstr/>
  </property>
  <property fmtid="{D5CDD505-2E9C-101B-9397-08002B2CF9AE}" pid="32" name="FSC#EVDCFG@15.1400:Dossierref">
    <vt:lpwstr>072.10-00018</vt:lpwstr>
  </property>
  <property fmtid="{D5CDD505-2E9C-101B-9397-08002B2CF9AE}" pid="33" name="FSC#EVDCFG@15.1400:FileRespEmail">
    <vt:lpwstr/>
  </property>
  <property fmtid="{D5CDD505-2E9C-101B-9397-08002B2CF9AE}" pid="34" name="FSC#EVDCFG@15.1400:FileRespFax">
    <vt:lpwstr/>
  </property>
  <property fmtid="{D5CDD505-2E9C-101B-9397-08002B2CF9AE}" pid="35" name="FSC#EVDCFG@15.1400:FileRespHome">
    <vt:lpwstr/>
  </property>
  <property fmtid="{D5CDD505-2E9C-101B-9397-08002B2CF9AE}" pid="36" name="FSC#EVDCFG@15.1400:FileResponsible">
    <vt:lpwstr/>
  </property>
  <property fmtid="{D5CDD505-2E9C-101B-9397-08002B2CF9AE}" pid="37" name="FSC#EVDCFG@15.1400:FileRespOrg">
    <vt:lpwstr>Unité de direction Politique, droit et ressources internes</vt:lpwstr>
  </property>
  <property fmtid="{D5CDD505-2E9C-101B-9397-08002B2CF9AE}" pid="38" name="FSC#EVDCFG@15.1400:FileRespOrgHome">
    <vt:lpwstr/>
  </property>
  <property fmtid="{D5CDD505-2E9C-101B-9397-08002B2CF9AE}" pid="39" name="FSC#EVDCFG@15.1400:FileRespOrgStreet">
    <vt:lpwstr/>
  </property>
  <property fmtid="{D5CDD505-2E9C-101B-9397-08002B2CF9AE}" pid="40" name="FSC#EVDCFG@15.1400:FileRespOrgZipCode">
    <vt:lpwstr/>
  </property>
  <property fmtid="{D5CDD505-2E9C-101B-9397-08002B2CF9AE}" pid="41" name="FSC#EVDCFG@15.1400:FileRespshortsign">
    <vt:lpwstr/>
  </property>
  <property fmtid="{D5CDD505-2E9C-101B-9397-08002B2CF9AE}" pid="42" name="FSC#EVDCFG@15.1400:FileRespStreet">
    <vt:lpwstr/>
  </property>
  <property fmtid="{D5CDD505-2E9C-101B-9397-08002B2CF9AE}" pid="43" name="FSC#EVDCFG@15.1400:FileRespTel">
    <vt:lpwstr/>
  </property>
  <property fmtid="{D5CDD505-2E9C-101B-9397-08002B2CF9AE}" pid="44" name="FSC#EVDCFG@15.1400:FileRespZipCode">
    <vt:lpwstr/>
  </property>
  <property fmtid="{D5CDD505-2E9C-101B-9397-08002B2CF9AE}" pid="45" name="FSC#EVDCFG@15.1400:OutAttachElectr">
    <vt:lpwstr/>
  </property>
  <property fmtid="{D5CDD505-2E9C-101B-9397-08002B2CF9AE}" pid="46" name="FSC#EVDCFG@15.1400:OutAttachPhysic">
    <vt:lpwstr/>
  </property>
  <property fmtid="{D5CDD505-2E9C-101B-9397-08002B2CF9AE}" pid="47" name="FSC#EVDCFG@15.1400:SignAcceptedDraft1">
    <vt:lpwstr/>
  </property>
  <property fmtid="{D5CDD505-2E9C-101B-9397-08002B2CF9AE}" pid="48" name="FSC#EVDCFG@15.1400:SignAcceptedDraft1FR">
    <vt:lpwstr/>
  </property>
  <property fmtid="{D5CDD505-2E9C-101B-9397-08002B2CF9AE}" pid="49" name="FSC#EVDCFG@15.1400:SignAcceptedDraft2">
    <vt:lpwstr/>
  </property>
  <property fmtid="{D5CDD505-2E9C-101B-9397-08002B2CF9AE}" pid="50" name="FSC#EVDCFG@15.1400:SignAcceptedDraft2FR">
    <vt:lpwstr/>
  </property>
  <property fmtid="{D5CDD505-2E9C-101B-9397-08002B2CF9AE}" pid="51" name="FSC#EVDCFG@15.1400:SignApproved1">
    <vt:lpwstr/>
  </property>
  <property fmtid="{D5CDD505-2E9C-101B-9397-08002B2CF9AE}" pid="52" name="FSC#EVDCFG@15.1400:SignApproved1FR">
    <vt:lpwstr/>
  </property>
  <property fmtid="{D5CDD505-2E9C-101B-9397-08002B2CF9AE}" pid="53" name="FSC#EVDCFG@15.1400:SignApproved2">
    <vt:lpwstr/>
  </property>
  <property fmtid="{D5CDD505-2E9C-101B-9397-08002B2CF9AE}" pid="54" name="FSC#EVDCFG@15.1400:SignApproved2FR">
    <vt:lpwstr/>
  </property>
  <property fmtid="{D5CDD505-2E9C-101B-9397-08002B2CF9AE}" pid="55" name="FSC#EVDCFG@15.1400:SubDossierBarCode">
    <vt:lpwstr/>
  </property>
  <property fmtid="{D5CDD505-2E9C-101B-9397-08002B2CF9AE}" pid="56" name="FSC#EVDCFG@15.1400:Subject">
    <vt:lpwstr/>
  </property>
  <property fmtid="{D5CDD505-2E9C-101B-9397-08002B2CF9AE}" pid="57" name="FSC#EVDCFG@15.1400:Title">
    <vt:lpwstr>Rückmeldungsformular_Verordnungspaket_2020_dreisprachig</vt:lpwstr>
  </property>
  <property fmtid="{D5CDD505-2E9C-101B-9397-08002B2CF9AE}" pid="58" name="FSC#EVDCFG@15.1400:UserFunction">
    <vt:lpwstr/>
  </property>
  <property fmtid="{D5CDD505-2E9C-101B-9397-08002B2CF9AE}" pid="59" name="FSC#EVDCFG@15.1400:SalutationEnglish">
    <vt:lpwstr/>
  </property>
  <property fmtid="{D5CDD505-2E9C-101B-9397-08002B2CF9AE}" pid="60" name="FSC#EVDCFG@15.1400:SalutationFrench">
    <vt:lpwstr>Unité de direction Politique, droit et ressources internes</vt:lpwstr>
  </property>
  <property fmtid="{D5CDD505-2E9C-101B-9397-08002B2CF9AE}" pid="61" name="FSC#EVDCFG@15.1400:SalutationGerman">
    <vt:lpwstr>Direktionsbereich Politik, Recht und Ressourcen</vt:lpwstr>
  </property>
  <property fmtid="{D5CDD505-2E9C-101B-9397-08002B2CF9AE}" pid="62" name="FSC#EVDCFG@15.1400:SalutationItalian">
    <vt:lpwstr>Unità di direzione Politica, diritto e risorse umane</vt:lpwstr>
  </property>
  <property fmtid="{D5CDD505-2E9C-101B-9397-08002B2CF9AE}" pid="63" name="FSC#EVDCFG@15.1400:SalutationEnglishUser">
    <vt:lpwstr/>
  </property>
  <property fmtid="{D5CDD505-2E9C-101B-9397-08002B2CF9AE}" pid="64" name="FSC#EVDCFG@15.1400:SalutationFrenchUser">
    <vt:lpwstr/>
  </property>
  <property fmtid="{D5CDD505-2E9C-101B-9397-08002B2CF9AE}" pid="65" name="FSC#EVDCFG@15.1400:SalutationGermanUser">
    <vt:lpwstr/>
  </property>
  <property fmtid="{D5CDD505-2E9C-101B-9397-08002B2CF9AE}" pid="66" name="FSC#EVDCFG@15.1400:SalutationItalianUser">
    <vt:lpwstr/>
  </property>
  <property fmtid="{D5CDD505-2E9C-101B-9397-08002B2CF9AE}" pid="67" name="FSC#EVDCFG@15.1400:PositionNumb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Widmer Conrad, BLW</vt:lpwstr>
  </property>
  <property fmtid="{D5CDD505-2E9C-101B-9397-08002B2CF9AE}" pid="71" name="FSC#COOELAK@1.1001:ProcessResponsiblePhone">
    <vt:lpwstr>+41 58 462 26 07</vt:lpwstr>
  </property>
  <property fmtid="{D5CDD505-2E9C-101B-9397-08002B2CF9AE}" pid="72" name="FSC#COOELAK@1.1001:ProcessResponsibleMail">
    <vt:lpwstr>conrad.widmer@blw.admin.ch</vt:lpwstr>
  </property>
  <property fmtid="{D5CDD505-2E9C-101B-9397-08002B2CF9AE}" pid="73" name="FSC#COOELAK@1.1001:ProcessResponsibleFax">
    <vt:lpwstr>+41 58 462 26 34</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072.10</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BLW-DBPRR</vt:lpwstr>
  </property>
  <property fmtid="{D5CDD505-2E9C-101B-9397-08002B2CF9AE}" pid="87" name="FSC#EVDCFG@15.1400:ActualVersionNumber">
    <vt:lpwstr>1</vt:lpwstr>
  </property>
  <property fmtid="{D5CDD505-2E9C-101B-9397-08002B2CF9AE}" pid="88" name="FSC#EVDCFG@15.1400:ActualVersionCreatedAt">
    <vt:lpwstr>2020-01-10T16:04:51</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COOELAK@1.1001:CurrentUserRolePos">
    <vt:lpwstr>Spécialiste</vt:lpwstr>
  </property>
  <property fmtid="{D5CDD505-2E9C-101B-9397-08002B2CF9AE}" pid="94" name="FSC#COOELAK@1.1001:CurrentUserEmail">
    <vt:lpwstr>melina.taillard@blw.admin.ch</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Unité de direction Politique, droit et ressources internes</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Rückmeldungsformular_Verordnungspaket_2018_dreisprachig (Copie)</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072.10-00018/00007/00001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y fmtid="{D5CDD505-2E9C-101B-9397-08002B2CF9AE}" pid="155" name="ContentTypeId">
    <vt:lpwstr>0x0101004E3DD70D36F6AD4B93FBB458237E7DA4</vt:lpwstr>
  </property>
  <property fmtid="{D5CDD505-2E9C-101B-9397-08002B2CF9AE}" pid="156" name="_dlc_DocIdItemGuid">
    <vt:lpwstr>e0ef2a60-22c8-4d6c-883c-3340d58ea963</vt:lpwstr>
  </property>
  <property fmtid="{D5CDD505-2E9C-101B-9397-08002B2CF9AE}" pid="157" name="MediaServiceImageTags">
    <vt:lpwstr/>
  </property>
</Properties>
</file>